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0235" w:rsidRDefault="009C0235" w:rsidP="009C0235">
      <w:pPr>
        <w:jc w:val="center"/>
        <w:rPr>
          <w:rStyle w:val="Forte"/>
          <w:sz w:val="28"/>
          <w:szCs w:val="28"/>
        </w:rPr>
      </w:pPr>
      <w:r w:rsidRPr="005F013A">
        <w:rPr>
          <w:b/>
          <w:sz w:val="28"/>
          <w:szCs w:val="28"/>
        </w:rPr>
        <w:t xml:space="preserve">XIII SIMPÓSIO INTERNACIONAL DE CIÊNCIAS INTEGRADAS </w:t>
      </w:r>
      <w:r w:rsidRPr="005F013A">
        <w:rPr>
          <w:rStyle w:val="Forte"/>
          <w:sz w:val="28"/>
          <w:szCs w:val="28"/>
        </w:rPr>
        <w:t>DA UNAERP CAMPUS GUARUJÁ</w:t>
      </w:r>
    </w:p>
    <w:p w:rsidR="009C0235" w:rsidRDefault="009C0235" w:rsidP="009C0235">
      <w:pPr>
        <w:jc w:val="center"/>
        <w:rPr>
          <w:rStyle w:val="Forte"/>
          <w:sz w:val="28"/>
          <w:szCs w:val="28"/>
        </w:rPr>
      </w:pPr>
    </w:p>
    <w:p w:rsidR="009C0235" w:rsidRPr="00962808" w:rsidRDefault="009C0235" w:rsidP="009C0235">
      <w:pPr>
        <w:jc w:val="center"/>
        <w:rPr>
          <w:rStyle w:val="Forte"/>
          <w:b w:val="0"/>
          <w:sz w:val="32"/>
          <w:szCs w:val="28"/>
        </w:rPr>
      </w:pPr>
      <w:r w:rsidRPr="00962808">
        <w:rPr>
          <w:b/>
          <w:sz w:val="28"/>
        </w:rPr>
        <w:t>Prevenção e Remediação de Catástrofes Ambientais</w:t>
      </w:r>
    </w:p>
    <w:p w:rsidR="009C0235" w:rsidRDefault="009C0235" w:rsidP="009C0235">
      <w:pPr>
        <w:jc w:val="center"/>
        <w:rPr>
          <w:rStyle w:val="Forte"/>
          <w:sz w:val="28"/>
          <w:szCs w:val="28"/>
        </w:rPr>
      </w:pPr>
    </w:p>
    <w:p w:rsidR="00710401" w:rsidRPr="005F013A" w:rsidRDefault="00E9297D" w:rsidP="005F013A">
      <w:pPr>
        <w:tabs>
          <w:tab w:val="left" w:pos="567"/>
        </w:tabs>
        <w:jc w:val="center"/>
        <w:rPr>
          <w:b/>
          <w:bCs/>
        </w:rPr>
      </w:pPr>
      <w:r w:rsidRPr="00E9297D">
        <w:rPr>
          <w:rFonts w:eastAsia="Arial"/>
          <w:b/>
          <w:sz w:val="28"/>
          <w:szCs w:val="28"/>
        </w:rPr>
        <w:t xml:space="preserve">Análise do Desempenho de uma Junta Soldada para </w:t>
      </w:r>
      <w:r>
        <w:rPr>
          <w:rFonts w:eastAsia="Arial"/>
          <w:b/>
          <w:sz w:val="28"/>
          <w:szCs w:val="28"/>
        </w:rPr>
        <w:br/>
      </w:r>
      <w:r w:rsidRPr="00E9297D">
        <w:rPr>
          <w:rFonts w:eastAsia="Arial"/>
          <w:b/>
          <w:sz w:val="28"/>
          <w:szCs w:val="28"/>
        </w:rPr>
        <w:t>Tubulações de uma Plataforma Marítima</w:t>
      </w:r>
    </w:p>
    <w:p w:rsidR="00437CC1" w:rsidRDefault="00437CC1" w:rsidP="005F013A">
      <w:pPr>
        <w:tabs>
          <w:tab w:val="left" w:pos="567"/>
        </w:tabs>
        <w:jc w:val="center"/>
        <w:rPr>
          <w:b/>
          <w:bCs/>
        </w:rPr>
      </w:pPr>
    </w:p>
    <w:p w:rsidR="00E94513" w:rsidRPr="005F013A" w:rsidRDefault="00E94513" w:rsidP="005F013A">
      <w:pPr>
        <w:tabs>
          <w:tab w:val="left" w:pos="567"/>
        </w:tabs>
        <w:jc w:val="center"/>
        <w:rPr>
          <w:b/>
          <w:bCs/>
        </w:rPr>
      </w:pPr>
    </w:p>
    <w:p w:rsidR="00E9297D" w:rsidRPr="005F013A" w:rsidRDefault="00E9297D" w:rsidP="00E9297D">
      <w:pPr>
        <w:tabs>
          <w:tab w:val="left" w:pos="567"/>
        </w:tabs>
        <w:jc w:val="center"/>
        <w:rPr>
          <w:b/>
          <w:sz w:val="20"/>
        </w:rPr>
      </w:pPr>
      <w:r>
        <w:rPr>
          <w:b/>
          <w:sz w:val="20"/>
        </w:rPr>
        <w:t>Adriana Rey Rey</w:t>
      </w:r>
    </w:p>
    <w:p w:rsidR="00E9297D" w:rsidRDefault="00E9297D" w:rsidP="00E9297D">
      <w:pPr>
        <w:tabs>
          <w:tab w:val="left" w:pos="567"/>
        </w:tabs>
        <w:jc w:val="center"/>
        <w:rPr>
          <w:b/>
          <w:sz w:val="20"/>
        </w:rPr>
      </w:pPr>
      <w:r w:rsidRPr="004E1617">
        <w:rPr>
          <w:b/>
          <w:sz w:val="20"/>
        </w:rPr>
        <w:t>Discente</w:t>
      </w:r>
      <w:r w:rsidR="000144C3">
        <w:rPr>
          <w:b/>
          <w:sz w:val="20"/>
        </w:rPr>
        <w:t>s</w:t>
      </w:r>
      <w:r w:rsidRPr="004E1617">
        <w:rPr>
          <w:b/>
          <w:sz w:val="20"/>
        </w:rPr>
        <w:t xml:space="preserve"> do curso de Engenharia </w:t>
      </w:r>
      <w:r>
        <w:rPr>
          <w:b/>
          <w:sz w:val="20"/>
        </w:rPr>
        <w:t>Mecânica</w:t>
      </w:r>
    </w:p>
    <w:p w:rsidR="00E9297D" w:rsidRPr="004E1617" w:rsidRDefault="00E9297D" w:rsidP="00E9297D">
      <w:pPr>
        <w:tabs>
          <w:tab w:val="left" w:pos="567"/>
        </w:tabs>
        <w:jc w:val="center"/>
        <w:rPr>
          <w:b/>
          <w:sz w:val="20"/>
        </w:rPr>
      </w:pPr>
      <w:r>
        <w:rPr>
          <w:b/>
          <w:sz w:val="20"/>
        </w:rPr>
        <w:t>UNISANTA</w:t>
      </w:r>
    </w:p>
    <w:p w:rsidR="00E9297D" w:rsidRDefault="00E9297D" w:rsidP="00E9297D">
      <w:pPr>
        <w:tabs>
          <w:tab w:val="left" w:pos="567"/>
        </w:tabs>
        <w:jc w:val="center"/>
        <w:rPr>
          <w:b/>
          <w:sz w:val="20"/>
          <w:lang w:val="en-US"/>
        </w:rPr>
      </w:pPr>
      <w:r>
        <w:rPr>
          <w:b/>
          <w:sz w:val="20"/>
          <w:lang w:val="en-US"/>
        </w:rPr>
        <w:t>arrey@uol.com.br</w:t>
      </w:r>
    </w:p>
    <w:p w:rsidR="006619A8" w:rsidRDefault="006619A8" w:rsidP="006619A8">
      <w:pPr>
        <w:tabs>
          <w:tab w:val="left" w:pos="567"/>
        </w:tabs>
        <w:jc w:val="center"/>
        <w:rPr>
          <w:rStyle w:val="Hyperlink"/>
          <w:b/>
          <w:bCs/>
          <w:color w:val="auto"/>
          <w:sz w:val="20"/>
          <w:u w:val="none"/>
        </w:rPr>
      </w:pPr>
    </w:p>
    <w:p w:rsidR="006619A8" w:rsidRDefault="006619A8" w:rsidP="006619A8">
      <w:pPr>
        <w:tabs>
          <w:tab w:val="left" w:pos="567"/>
        </w:tabs>
        <w:jc w:val="center"/>
        <w:rPr>
          <w:b/>
          <w:sz w:val="20"/>
        </w:rPr>
      </w:pPr>
      <w:r>
        <w:rPr>
          <w:b/>
          <w:sz w:val="20"/>
        </w:rPr>
        <w:t>Mauro André Guilherme Vieira Júnior</w:t>
      </w:r>
    </w:p>
    <w:p w:rsidR="006619A8" w:rsidRDefault="006619A8" w:rsidP="006619A8">
      <w:pPr>
        <w:tabs>
          <w:tab w:val="left" w:pos="567"/>
        </w:tabs>
        <w:jc w:val="center"/>
        <w:rPr>
          <w:b/>
          <w:sz w:val="20"/>
        </w:rPr>
      </w:pPr>
      <w:r w:rsidRPr="004E1617">
        <w:rPr>
          <w:b/>
          <w:sz w:val="20"/>
        </w:rPr>
        <w:t xml:space="preserve">Discente do curso de Engenharia </w:t>
      </w:r>
      <w:r>
        <w:rPr>
          <w:b/>
          <w:sz w:val="20"/>
        </w:rPr>
        <w:t>Mecânica</w:t>
      </w:r>
    </w:p>
    <w:p w:rsidR="006619A8" w:rsidRPr="004E1617" w:rsidRDefault="006619A8" w:rsidP="006619A8">
      <w:pPr>
        <w:tabs>
          <w:tab w:val="left" w:pos="567"/>
        </w:tabs>
        <w:jc w:val="center"/>
        <w:rPr>
          <w:b/>
          <w:sz w:val="20"/>
        </w:rPr>
      </w:pPr>
      <w:r>
        <w:rPr>
          <w:b/>
          <w:sz w:val="20"/>
        </w:rPr>
        <w:t>UNISANTA</w:t>
      </w:r>
    </w:p>
    <w:p w:rsidR="006619A8" w:rsidRDefault="006619A8" w:rsidP="006619A8">
      <w:pPr>
        <w:tabs>
          <w:tab w:val="left" w:pos="567"/>
        </w:tabs>
        <w:jc w:val="center"/>
        <w:rPr>
          <w:b/>
          <w:sz w:val="20"/>
        </w:rPr>
      </w:pPr>
      <w:r>
        <w:rPr>
          <w:b/>
          <w:sz w:val="20"/>
        </w:rPr>
        <w:t>mjunior001@icloud</w:t>
      </w:r>
    </w:p>
    <w:p w:rsidR="00E94513" w:rsidRDefault="00E94513" w:rsidP="00E9297D">
      <w:pPr>
        <w:tabs>
          <w:tab w:val="left" w:pos="567"/>
        </w:tabs>
        <w:jc w:val="center"/>
        <w:rPr>
          <w:b/>
          <w:sz w:val="20"/>
          <w:lang w:val="en-US"/>
        </w:rPr>
      </w:pPr>
      <w:bookmarkStart w:id="0" w:name="_GoBack"/>
      <w:bookmarkEnd w:id="0"/>
    </w:p>
    <w:p w:rsidR="00E94513" w:rsidRPr="005F013A" w:rsidRDefault="00E94513" w:rsidP="00E94513">
      <w:pPr>
        <w:tabs>
          <w:tab w:val="left" w:pos="567"/>
        </w:tabs>
        <w:jc w:val="center"/>
        <w:rPr>
          <w:b/>
          <w:sz w:val="20"/>
        </w:rPr>
      </w:pPr>
      <w:r w:rsidRPr="00631B5F">
        <w:rPr>
          <w:b/>
          <w:bCs/>
          <w:sz w:val="20"/>
        </w:rPr>
        <w:t>Guilherme Geada Sampaio</w:t>
      </w:r>
    </w:p>
    <w:p w:rsidR="00E94513" w:rsidRDefault="00E94513" w:rsidP="00E94513">
      <w:pPr>
        <w:tabs>
          <w:tab w:val="left" w:pos="567"/>
        </w:tabs>
        <w:jc w:val="center"/>
        <w:rPr>
          <w:b/>
          <w:bCs/>
          <w:sz w:val="20"/>
        </w:rPr>
      </w:pPr>
      <w:r w:rsidRPr="00631B5F">
        <w:rPr>
          <w:b/>
          <w:bCs/>
          <w:sz w:val="20"/>
        </w:rPr>
        <w:t>Inspetor de Soldagem Nível 2 (ASME B31.1)</w:t>
      </w:r>
      <w:r>
        <w:rPr>
          <w:b/>
          <w:bCs/>
          <w:sz w:val="20"/>
        </w:rPr>
        <w:t xml:space="preserve"> e Diretor Comercial</w:t>
      </w:r>
    </w:p>
    <w:p w:rsidR="00E94513" w:rsidRPr="005F013A" w:rsidRDefault="00E94513" w:rsidP="00E94513">
      <w:pPr>
        <w:tabs>
          <w:tab w:val="left" w:pos="567"/>
        </w:tabs>
        <w:jc w:val="center"/>
        <w:rPr>
          <w:b/>
          <w:sz w:val="20"/>
        </w:rPr>
      </w:pPr>
      <w:r>
        <w:rPr>
          <w:b/>
          <w:bCs/>
          <w:sz w:val="20"/>
        </w:rPr>
        <w:t>INSPEBRAS – Praia Grande</w:t>
      </w:r>
    </w:p>
    <w:p w:rsidR="00E94513" w:rsidRPr="00F262DD" w:rsidRDefault="00E94513" w:rsidP="00E94513">
      <w:pPr>
        <w:tabs>
          <w:tab w:val="left" w:pos="567"/>
        </w:tabs>
        <w:jc w:val="center"/>
        <w:rPr>
          <w:rStyle w:val="Hyperlink"/>
          <w:b/>
          <w:bCs/>
          <w:color w:val="auto"/>
          <w:sz w:val="20"/>
          <w:u w:val="none"/>
        </w:rPr>
      </w:pPr>
      <w:r w:rsidRPr="0079026E">
        <w:rPr>
          <w:b/>
          <w:bCs/>
          <w:sz w:val="20"/>
        </w:rPr>
        <w:t>guilherme@inspebras.com.br</w:t>
      </w:r>
    </w:p>
    <w:p w:rsidR="00E9297D" w:rsidRDefault="00E9297D" w:rsidP="00E9297D">
      <w:pPr>
        <w:rPr>
          <w:b/>
          <w:sz w:val="20"/>
          <w:lang w:val="en-US"/>
        </w:rPr>
      </w:pPr>
    </w:p>
    <w:p w:rsidR="00E9297D" w:rsidRPr="005F013A" w:rsidRDefault="00E9297D" w:rsidP="00E9297D">
      <w:pPr>
        <w:tabs>
          <w:tab w:val="left" w:pos="567"/>
        </w:tabs>
        <w:jc w:val="center"/>
        <w:rPr>
          <w:b/>
          <w:sz w:val="20"/>
        </w:rPr>
      </w:pPr>
      <w:r w:rsidRPr="00E9297D">
        <w:rPr>
          <w:b/>
          <w:bCs/>
          <w:sz w:val="20"/>
        </w:rPr>
        <w:t>Leonardo Peres de Souza</w:t>
      </w:r>
    </w:p>
    <w:p w:rsidR="00E9297D" w:rsidRDefault="00E9297D" w:rsidP="00E9297D">
      <w:pPr>
        <w:tabs>
          <w:tab w:val="left" w:pos="567"/>
        </w:tabs>
        <w:jc w:val="center"/>
        <w:rPr>
          <w:b/>
          <w:bCs/>
          <w:sz w:val="20"/>
        </w:rPr>
      </w:pPr>
      <w:r>
        <w:rPr>
          <w:b/>
          <w:bCs/>
          <w:sz w:val="20"/>
        </w:rPr>
        <w:t>Mestrando em Engenharia Mecânica</w:t>
      </w:r>
    </w:p>
    <w:p w:rsidR="00E9297D" w:rsidRPr="004E1617" w:rsidRDefault="00E9297D" w:rsidP="00E9297D">
      <w:pPr>
        <w:tabs>
          <w:tab w:val="left" w:pos="567"/>
        </w:tabs>
        <w:jc w:val="center"/>
        <w:rPr>
          <w:b/>
          <w:sz w:val="20"/>
        </w:rPr>
      </w:pPr>
      <w:r>
        <w:rPr>
          <w:b/>
          <w:sz w:val="20"/>
        </w:rPr>
        <w:t>UNISANTA</w:t>
      </w:r>
    </w:p>
    <w:p w:rsidR="00E9297D" w:rsidRDefault="00E9297D" w:rsidP="00E9297D">
      <w:pPr>
        <w:tabs>
          <w:tab w:val="left" w:pos="567"/>
        </w:tabs>
        <w:jc w:val="center"/>
        <w:rPr>
          <w:b/>
          <w:bCs/>
          <w:sz w:val="20"/>
        </w:rPr>
      </w:pPr>
      <w:r w:rsidRPr="00E9297D">
        <w:rPr>
          <w:b/>
          <w:bCs/>
          <w:sz w:val="20"/>
        </w:rPr>
        <w:t>leonardo.peres.eng@hotmail.com</w:t>
      </w:r>
    </w:p>
    <w:p w:rsidR="00090D3E" w:rsidRDefault="00090D3E" w:rsidP="00090D3E">
      <w:pPr>
        <w:rPr>
          <w:b/>
          <w:sz w:val="20"/>
          <w:lang w:val="en-US"/>
        </w:rPr>
      </w:pPr>
    </w:p>
    <w:p w:rsidR="00FD131A" w:rsidRPr="005F013A" w:rsidRDefault="00FD131A" w:rsidP="00FD131A">
      <w:pPr>
        <w:tabs>
          <w:tab w:val="left" w:pos="567"/>
        </w:tabs>
        <w:jc w:val="center"/>
        <w:rPr>
          <w:b/>
          <w:sz w:val="20"/>
        </w:rPr>
      </w:pPr>
      <w:r>
        <w:rPr>
          <w:b/>
          <w:sz w:val="20"/>
        </w:rPr>
        <w:t>Willy Ank de Morais</w:t>
      </w:r>
    </w:p>
    <w:p w:rsidR="00FD131A" w:rsidRPr="005F013A" w:rsidRDefault="00FD131A" w:rsidP="00FD131A">
      <w:pPr>
        <w:tabs>
          <w:tab w:val="left" w:pos="567"/>
        </w:tabs>
        <w:jc w:val="center"/>
        <w:rPr>
          <w:b/>
          <w:sz w:val="20"/>
        </w:rPr>
      </w:pPr>
      <w:r>
        <w:rPr>
          <w:b/>
          <w:sz w:val="20"/>
        </w:rPr>
        <w:t>Professor</w:t>
      </w:r>
      <w:r w:rsidRPr="005F013A">
        <w:rPr>
          <w:b/>
          <w:sz w:val="20"/>
        </w:rPr>
        <w:t xml:space="preserve"> do curso de Engenharia </w:t>
      </w:r>
      <w:r>
        <w:rPr>
          <w:b/>
          <w:sz w:val="20"/>
        </w:rPr>
        <w:t>Civil e do Mestrado em Engenharia Mecânica</w:t>
      </w:r>
    </w:p>
    <w:p w:rsidR="00FD131A" w:rsidRPr="005F013A" w:rsidRDefault="00FD131A" w:rsidP="00FD131A">
      <w:pPr>
        <w:tabs>
          <w:tab w:val="left" w:pos="567"/>
        </w:tabs>
        <w:jc w:val="center"/>
        <w:rPr>
          <w:b/>
          <w:sz w:val="20"/>
          <w:lang w:val="en-US"/>
        </w:rPr>
      </w:pPr>
      <w:r w:rsidRPr="005F013A">
        <w:rPr>
          <w:b/>
          <w:sz w:val="20"/>
          <w:lang w:val="en-US"/>
        </w:rPr>
        <w:t>UNAERP Campus Guarujá</w:t>
      </w:r>
      <w:r>
        <w:rPr>
          <w:b/>
          <w:sz w:val="20"/>
          <w:lang w:val="en-US"/>
        </w:rPr>
        <w:t xml:space="preserve"> e da UNISANTA</w:t>
      </w:r>
    </w:p>
    <w:p w:rsidR="00FD131A" w:rsidRPr="005F013A" w:rsidRDefault="00FD131A" w:rsidP="00FD131A">
      <w:pPr>
        <w:tabs>
          <w:tab w:val="left" w:pos="567"/>
        </w:tabs>
        <w:jc w:val="center"/>
        <w:rPr>
          <w:b/>
          <w:sz w:val="20"/>
          <w:lang w:val="en-US"/>
        </w:rPr>
      </w:pPr>
      <w:r>
        <w:rPr>
          <w:b/>
          <w:sz w:val="20"/>
          <w:lang w:val="en-US"/>
        </w:rPr>
        <w:t>w.morais@unaerp.br</w:t>
      </w:r>
    </w:p>
    <w:p w:rsidR="00437CC1" w:rsidRPr="005F013A" w:rsidRDefault="00437CC1" w:rsidP="005F013A">
      <w:pPr>
        <w:rPr>
          <w:b/>
          <w:sz w:val="20"/>
        </w:rPr>
      </w:pPr>
    </w:p>
    <w:p w:rsidR="00F75E26" w:rsidRPr="00E94513" w:rsidRDefault="00437CC1" w:rsidP="005F013A">
      <w:pPr>
        <w:tabs>
          <w:tab w:val="left" w:pos="567"/>
        </w:tabs>
        <w:jc w:val="center"/>
        <w:rPr>
          <w:b/>
          <w:bCs/>
          <w:sz w:val="20"/>
          <w:szCs w:val="20"/>
        </w:rPr>
      </w:pPr>
      <w:r w:rsidRPr="00E94513">
        <w:rPr>
          <w:b/>
          <w:bCs/>
          <w:sz w:val="20"/>
          <w:szCs w:val="20"/>
        </w:rPr>
        <w:t>Este simpósio tem o apoio da Fundação Eduardo Lee.</w:t>
      </w:r>
    </w:p>
    <w:p w:rsidR="001959CD" w:rsidRDefault="001959CD" w:rsidP="005F013A">
      <w:pPr>
        <w:tabs>
          <w:tab w:val="left" w:pos="567"/>
        </w:tabs>
        <w:jc w:val="center"/>
        <w:rPr>
          <w:b/>
          <w:bCs/>
        </w:rPr>
      </w:pPr>
    </w:p>
    <w:p w:rsidR="00E94513" w:rsidRPr="005F013A" w:rsidRDefault="00E94513" w:rsidP="005F013A">
      <w:pPr>
        <w:tabs>
          <w:tab w:val="left" w:pos="567"/>
        </w:tabs>
        <w:jc w:val="center"/>
        <w:rPr>
          <w:b/>
          <w:bCs/>
        </w:rPr>
      </w:pPr>
    </w:p>
    <w:p w:rsidR="00005335" w:rsidRPr="005F013A" w:rsidRDefault="00005335" w:rsidP="005F013A">
      <w:pPr>
        <w:tabs>
          <w:tab w:val="left" w:pos="567"/>
        </w:tabs>
        <w:jc w:val="both"/>
        <w:rPr>
          <w:b/>
        </w:rPr>
      </w:pPr>
      <w:r w:rsidRPr="005F013A">
        <w:rPr>
          <w:b/>
        </w:rPr>
        <w:t>Resumo</w:t>
      </w:r>
    </w:p>
    <w:p w:rsidR="00235817" w:rsidRPr="005F013A" w:rsidRDefault="00235817" w:rsidP="005F013A">
      <w:pPr>
        <w:tabs>
          <w:tab w:val="left" w:pos="567"/>
        </w:tabs>
        <w:jc w:val="both"/>
        <w:rPr>
          <w:b/>
        </w:rPr>
      </w:pPr>
    </w:p>
    <w:p w:rsidR="00E9297D" w:rsidRDefault="00E9297D" w:rsidP="00E94513">
      <w:pPr>
        <w:suppressAutoHyphens/>
        <w:contextualSpacing/>
        <w:jc w:val="both"/>
        <w:rPr>
          <w:rFonts w:eastAsia="Calibri"/>
          <w:color w:val="000000" w:themeColor="text1"/>
        </w:rPr>
      </w:pPr>
      <w:r w:rsidRPr="003B2219">
        <w:rPr>
          <w:rFonts w:eastAsia="Calibri"/>
          <w:color w:val="000000" w:themeColor="text1"/>
        </w:rPr>
        <w:t>Este trabalho</w:t>
      </w:r>
      <w:r w:rsidR="000144C3">
        <w:rPr>
          <w:rFonts w:eastAsia="Calibri"/>
          <w:color w:val="000000" w:themeColor="text1"/>
        </w:rPr>
        <w:t xml:space="preserve"> </w:t>
      </w:r>
      <w:r>
        <w:rPr>
          <w:rFonts w:eastAsia="Calibri"/>
          <w:color w:val="000000" w:themeColor="text1"/>
        </w:rPr>
        <w:t>analisou</w:t>
      </w:r>
      <w:r w:rsidR="000144C3">
        <w:rPr>
          <w:rFonts w:eastAsia="Calibri"/>
          <w:color w:val="000000" w:themeColor="text1"/>
        </w:rPr>
        <w:t xml:space="preserve"> </w:t>
      </w:r>
      <w:r>
        <w:rPr>
          <w:rFonts w:eastAsia="Calibri"/>
          <w:color w:val="000000" w:themeColor="text1"/>
        </w:rPr>
        <w:t>o caso de</w:t>
      </w:r>
      <w:r w:rsidR="000144C3">
        <w:rPr>
          <w:rFonts w:eastAsia="Calibri"/>
          <w:color w:val="000000" w:themeColor="text1"/>
        </w:rPr>
        <w:t xml:space="preserve"> </w:t>
      </w:r>
      <w:r>
        <w:rPr>
          <w:rFonts w:eastAsia="Calibri"/>
          <w:color w:val="000000" w:themeColor="text1"/>
        </w:rPr>
        <w:t xml:space="preserve">emprego de </w:t>
      </w:r>
      <w:r w:rsidR="001B2838">
        <w:rPr>
          <w:rFonts w:eastAsia="Calibri"/>
          <w:color w:val="000000" w:themeColor="text1"/>
        </w:rPr>
        <w:t>um</w:t>
      </w:r>
      <w:r w:rsidR="000144C3">
        <w:rPr>
          <w:rFonts w:eastAsia="Calibri"/>
          <w:color w:val="000000" w:themeColor="text1"/>
        </w:rPr>
        <w:t xml:space="preserve"> </w:t>
      </w:r>
      <w:r>
        <w:rPr>
          <w:rFonts w:eastAsia="Calibri"/>
          <w:color w:val="000000" w:themeColor="text1"/>
        </w:rPr>
        <w:t xml:space="preserve">consumível </w:t>
      </w:r>
      <w:r w:rsidR="001B2838">
        <w:rPr>
          <w:rFonts w:eastAsia="Calibri"/>
          <w:color w:val="000000" w:themeColor="text1"/>
        </w:rPr>
        <w:t>constituído de aço carbono</w:t>
      </w:r>
      <w:r w:rsidR="000144C3">
        <w:rPr>
          <w:rFonts w:eastAsia="Calibri"/>
          <w:color w:val="000000" w:themeColor="text1"/>
        </w:rPr>
        <w:t xml:space="preserve"> </w:t>
      </w:r>
      <w:r>
        <w:rPr>
          <w:rFonts w:eastAsia="Calibri"/>
          <w:color w:val="000000" w:themeColor="text1"/>
        </w:rPr>
        <w:t>(</w:t>
      </w:r>
      <w:r w:rsidR="001B2838">
        <w:rPr>
          <w:bCs/>
        </w:rPr>
        <w:t>ER</w:t>
      </w:r>
      <w:r w:rsidR="000144C3">
        <w:rPr>
          <w:bCs/>
        </w:rPr>
        <w:t xml:space="preserve"> </w:t>
      </w:r>
      <w:r>
        <w:rPr>
          <w:bCs/>
        </w:rPr>
        <w:t>70S3</w:t>
      </w:r>
      <w:r w:rsidR="001B2838">
        <w:rPr>
          <w:rFonts w:eastAsia="Calibri"/>
          <w:color w:val="000000" w:themeColor="text1"/>
        </w:rPr>
        <w:t>) para</w:t>
      </w:r>
      <w:r w:rsidR="000144C3">
        <w:rPr>
          <w:rFonts w:eastAsia="Calibri"/>
          <w:color w:val="000000" w:themeColor="text1"/>
        </w:rPr>
        <w:t xml:space="preserve"> </w:t>
      </w:r>
      <w:r>
        <w:rPr>
          <w:rFonts w:eastAsia="Calibri"/>
          <w:color w:val="000000" w:themeColor="text1"/>
        </w:rPr>
        <w:t xml:space="preserve">realizar a </w:t>
      </w:r>
      <w:r w:rsidRPr="00956AA8">
        <w:rPr>
          <w:rFonts w:eastAsia="Calibri"/>
          <w:color w:val="000000" w:themeColor="text1"/>
        </w:rPr>
        <w:t xml:space="preserve">soldagem de </w:t>
      </w:r>
      <w:r w:rsidR="000144C3">
        <w:rPr>
          <w:rFonts w:eastAsia="Calibri"/>
          <w:color w:val="000000" w:themeColor="text1"/>
        </w:rPr>
        <w:t xml:space="preserve"> </w:t>
      </w:r>
      <w:r w:rsidRPr="00956AA8">
        <w:rPr>
          <w:rFonts w:eastAsia="Calibri"/>
          <w:color w:val="000000" w:themeColor="text1"/>
        </w:rPr>
        <w:t xml:space="preserve">tubos </w:t>
      </w:r>
      <w:r w:rsidR="000144C3">
        <w:rPr>
          <w:rFonts w:eastAsia="Calibri"/>
          <w:color w:val="000000" w:themeColor="text1"/>
        </w:rPr>
        <w:t xml:space="preserve"> </w:t>
      </w:r>
      <w:r w:rsidRPr="00956AA8">
        <w:rPr>
          <w:rFonts w:eastAsia="Calibri"/>
          <w:color w:val="000000" w:themeColor="text1"/>
        </w:rPr>
        <w:t>ASTM A333</w:t>
      </w:r>
      <w:r>
        <w:rPr>
          <w:rFonts w:eastAsia="Calibri"/>
          <w:color w:val="000000" w:themeColor="text1"/>
        </w:rPr>
        <w:t>, empregados</w:t>
      </w:r>
      <w:r w:rsidR="000144C3">
        <w:rPr>
          <w:rFonts w:eastAsia="Calibri"/>
          <w:color w:val="000000" w:themeColor="text1"/>
        </w:rPr>
        <w:t xml:space="preserve"> </w:t>
      </w:r>
      <w:r>
        <w:rPr>
          <w:rFonts w:eastAsia="Calibri"/>
          <w:color w:val="000000" w:themeColor="text1"/>
        </w:rPr>
        <w:t xml:space="preserve"> em baixas </w:t>
      </w:r>
      <w:r w:rsidR="000144C3">
        <w:rPr>
          <w:rFonts w:eastAsia="Calibri"/>
          <w:color w:val="000000" w:themeColor="text1"/>
        </w:rPr>
        <w:t xml:space="preserve"> </w:t>
      </w:r>
      <w:r>
        <w:rPr>
          <w:rFonts w:eastAsia="Calibri"/>
          <w:color w:val="000000" w:themeColor="text1"/>
        </w:rPr>
        <w:t xml:space="preserve">temperaturas, ao invés de </w:t>
      </w:r>
      <w:r w:rsidR="000144C3">
        <w:rPr>
          <w:rFonts w:eastAsia="Calibri"/>
          <w:color w:val="000000" w:themeColor="text1"/>
        </w:rPr>
        <w:t xml:space="preserve"> </w:t>
      </w:r>
      <w:r>
        <w:rPr>
          <w:rFonts w:eastAsia="Calibri"/>
          <w:color w:val="000000" w:themeColor="text1"/>
        </w:rPr>
        <w:t xml:space="preserve">empregar </w:t>
      </w:r>
      <w:r w:rsidR="001B2838">
        <w:rPr>
          <w:rFonts w:eastAsia="Calibri"/>
          <w:color w:val="000000" w:themeColor="text1"/>
        </w:rPr>
        <w:t>consumíveis</w:t>
      </w:r>
      <w:r w:rsidR="000144C3">
        <w:rPr>
          <w:rFonts w:eastAsia="Calibri"/>
          <w:color w:val="000000" w:themeColor="text1"/>
        </w:rPr>
        <w:t xml:space="preserve"> </w:t>
      </w:r>
      <w:r w:rsidRPr="00956AA8">
        <w:rPr>
          <w:rFonts w:eastAsia="Calibri"/>
          <w:color w:val="000000" w:themeColor="text1"/>
        </w:rPr>
        <w:t>especiais</w:t>
      </w:r>
      <w:r>
        <w:rPr>
          <w:rFonts w:eastAsia="Calibri"/>
          <w:color w:val="000000" w:themeColor="text1"/>
        </w:rPr>
        <w:t xml:space="preserve"> especificados para emprego</w:t>
      </w:r>
      <w:r w:rsidR="000144C3">
        <w:rPr>
          <w:rFonts w:eastAsia="Calibri"/>
          <w:color w:val="000000" w:themeColor="text1"/>
        </w:rPr>
        <w:t xml:space="preserve"> </w:t>
      </w:r>
      <w:r>
        <w:rPr>
          <w:rFonts w:eastAsia="Calibri"/>
          <w:color w:val="000000" w:themeColor="text1"/>
        </w:rPr>
        <w:t xml:space="preserve"> em baixas </w:t>
      </w:r>
      <w:r w:rsidR="000144C3">
        <w:rPr>
          <w:rFonts w:eastAsia="Calibri"/>
          <w:color w:val="000000" w:themeColor="text1"/>
        </w:rPr>
        <w:t xml:space="preserve"> </w:t>
      </w:r>
      <w:r>
        <w:rPr>
          <w:rFonts w:eastAsia="Calibri"/>
          <w:color w:val="000000" w:themeColor="text1"/>
        </w:rPr>
        <w:t>temperaturas</w:t>
      </w:r>
      <w:r w:rsidRPr="00956AA8">
        <w:rPr>
          <w:rFonts w:eastAsia="Calibri"/>
          <w:color w:val="000000" w:themeColor="text1"/>
        </w:rPr>
        <w:t>, tal como o ER 80S Ni2.</w:t>
      </w:r>
      <w:r w:rsidR="001B2838">
        <w:rPr>
          <w:rFonts w:eastAsia="Calibri"/>
          <w:color w:val="000000" w:themeColor="text1"/>
        </w:rPr>
        <w:t xml:space="preserve"> Os</w:t>
      </w:r>
      <w:r w:rsidR="000144C3">
        <w:rPr>
          <w:rFonts w:eastAsia="Calibri"/>
          <w:color w:val="000000" w:themeColor="text1"/>
        </w:rPr>
        <w:t xml:space="preserve"> </w:t>
      </w:r>
      <w:r>
        <w:rPr>
          <w:rFonts w:eastAsia="Calibri"/>
          <w:color w:val="000000" w:themeColor="text1"/>
        </w:rPr>
        <w:t>três pontos centrais considerados</w:t>
      </w:r>
      <w:r w:rsidR="000144C3">
        <w:rPr>
          <w:rFonts w:eastAsia="Calibri"/>
          <w:color w:val="000000" w:themeColor="text1"/>
        </w:rPr>
        <w:t xml:space="preserve"> </w:t>
      </w:r>
      <w:r>
        <w:rPr>
          <w:rFonts w:eastAsia="Calibri"/>
          <w:color w:val="000000" w:themeColor="text1"/>
        </w:rPr>
        <w:t xml:space="preserve"> neste </w:t>
      </w:r>
      <w:r w:rsidR="000144C3">
        <w:rPr>
          <w:rFonts w:eastAsia="Calibri"/>
          <w:color w:val="000000" w:themeColor="text1"/>
        </w:rPr>
        <w:t xml:space="preserve"> </w:t>
      </w:r>
      <w:r>
        <w:rPr>
          <w:rFonts w:eastAsia="Calibri"/>
          <w:color w:val="000000" w:themeColor="text1"/>
        </w:rPr>
        <w:t>trabalho</w:t>
      </w:r>
      <w:r w:rsidR="000144C3">
        <w:rPr>
          <w:rFonts w:eastAsia="Calibri"/>
          <w:color w:val="000000" w:themeColor="text1"/>
        </w:rPr>
        <w:t xml:space="preserve"> </w:t>
      </w:r>
      <w:r>
        <w:rPr>
          <w:rFonts w:eastAsia="Calibri"/>
          <w:color w:val="000000" w:themeColor="text1"/>
        </w:rPr>
        <w:t xml:space="preserve"> foram: (1) compatibilidade</w:t>
      </w:r>
      <w:r w:rsidR="000144C3">
        <w:rPr>
          <w:rFonts w:eastAsia="Calibri"/>
          <w:color w:val="000000" w:themeColor="text1"/>
        </w:rPr>
        <w:t xml:space="preserve"> </w:t>
      </w:r>
      <w:r>
        <w:rPr>
          <w:rFonts w:eastAsia="Calibri"/>
          <w:color w:val="000000" w:themeColor="text1"/>
        </w:rPr>
        <w:t xml:space="preserve"> entre os materiais envolvidos; (2) análise</w:t>
      </w:r>
      <w:r w:rsidR="000144C3">
        <w:rPr>
          <w:rFonts w:eastAsia="Calibri"/>
          <w:color w:val="000000" w:themeColor="text1"/>
        </w:rPr>
        <w:t xml:space="preserve"> </w:t>
      </w:r>
      <w:r w:rsidR="001B2838">
        <w:rPr>
          <w:rFonts w:eastAsia="Calibri"/>
          <w:color w:val="000000" w:themeColor="text1"/>
        </w:rPr>
        <w:t>das</w:t>
      </w:r>
      <w:r w:rsidR="000144C3">
        <w:rPr>
          <w:rFonts w:eastAsia="Calibri"/>
          <w:color w:val="000000" w:themeColor="text1"/>
        </w:rPr>
        <w:t xml:space="preserve"> </w:t>
      </w:r>
      <w:r>
        <w:rPr>
          <w:rFonts w:eastAsia="Calibri"/>
          <w:color w:val="000000" w:themeColor="text1"/>
        </w:rPr>
        <w:t xml:space="preserve">características </w:t>
      </w:r>
      <w:r w:rsidR="000144C3">
        <w:rPr>
          <w:rFonts w:eastAsia="Calibri"/>
          <w:color w:val="000000" w:themeColor="text1"/>
        </w:rPr>
        <w:t xml:space="preserve"> </w:t>
      </w:r>
      <w:r>
        <w:rPr>
          <w:rFonts w:eastAsia="Calibri"/>
          <w:color w:val="000000" w:themeColor="text1"/>
        </w:rPr>
        <w:t xml:space="preserve">específicas do aço, no grau </w:t>
      </w:r>
      <w:r w:rsidR="000144C3">
        <w:rPr>
          <w:rFonts w:eastAsia="Calibri"/>
          <w:color w:val="000000" w:themeColor="text1"/>
        </w:rPr>
        <w:t xml:space="preserve"> </w:t>
      </w:r>
      <w:r>
        <w:rPr>
          <w:rFonts w:eastAsia="Calibri"/>
          <w:color w:val="000000" w:themeColor="text1"/>
        </w:rPr>
        <w:t>empregado e</w:t>
      </w:r>
      <w:r w:rsidR="000144C3">
        <w:rPr>
          <w:rFonts w:eastAsia="Calibri"/>
          <w:color w:val="000000" w:themeColor="text1"/>
        </w:rPr>
        <w:t xml:space="preserve"> </w:t>
      </w:r>
      <w:r>
        <w:rPr>
          <w:rFonts w:eastAsia="Calibri"/>
          <w:color w:val="000000" w:themeColor="text1"/>
        </w:rPr>
        <w:t xml:space="preserve"> do projeto da tubulação e; (3) longevidade </w:t>
      </w:r>
      <w:r w:rsidR="000144C3">
        <w:rPr>
          <w:rFonts w:eastAsia="Calibri"/>
          <w:color w:val="000000" w:themeColor="text1"/>
        </w:rPr>
        <w:t xml:space="preserve"> </w:t>
      </w:r>
      <w:r>
        <w:rPr>
          <w:rFonts w:eastAsia="Calibri"/>
          <w:color w:val="000000" w:themeColor="text1"/>
        </w:rPr>
        <w:t xml:space="preserve">da linha, que pode ser prejudicada a longo prazo </w:t>
      </w:r>
      <w:r w:rsidR="000144C3">
        <w:rPr>
          <w:rFonts w:eastAsia="Calibri"/>
          <w:color w:val="000000" w:themeColor="text1"/>
        </w:rPr>
        <w:t xml:space="preserve"> </w:t>
      </w:r>
      <w:r w:rsidR="001B2838">
        <w:rPr>
          <w:rFonts w:eastAsia="Calibri"/>
          <w:color w:val="000000" w:themeColor="text1"/>
        </w:rPr>
        <w:t>pelas variações</w:t>
      </w:r>
      <w:r w:rsidR="000144C3">
        <w:rPr>
          <w:rFonts w:eastAsia="Calibri"/>
          <w:color w:val="000000" w:themeColor="text1"/>
        </w:rPr>
        <w:t xml:space="preserve"> </w:t>
      </w:r>
      <w:r>
        <w:rPr>
          <w:rFonts w:eastAsia="Calibri"/>
          <w:color w:val="000000" w:themeColor="text1"/>
        </w:rPr>
        <w:t>químicas</w:t>
      </w:r>
      <w:r w:rsidR="000144C3">
        <w:rPr>
          <w:rFonts w:eastAsia="Calibri"/>
          <w:color w:val="000000" w:themeColor="text1"/>
        </w:rPr>
        <w:t xml:space="preserve"> </w:t>
      </w:r>
      <w:r w:rsidR="001B2838">
        <w:rPr>
          <w:rFonts w:eastAsia="Calibri"/>
          <w:color w:val="000000" w:themeColor="text1"/>
        </w:rPr>
        <w:t>dos metais</w:t>
      </w:r>
      <w:r w:rsidR="000144C3">
        <w:rPr>
          <w:rFonts w:eastAsia="Calibri"/>
          <w:color w:val="000000" w:themeColor="text1"/>
        </w:rPr>
        <w:t xml:space="preserve"> </w:t>
      </w:r>
      <w:r w:rsidR="001B2838">
        <w:rPr>
          <w:rFonts w:eastAsia="Calibri"/>
          <w:color w:val="000000" w:themeColor="text1"/>
        </w:rPr>
        <w:t>envolvidos</w:t>
      </w:r>
      <w:r w:rsidR="000144C3">
        <w:rPr>
          <w:rFonts w:eastAsia="Calibri"/>
          <w:color w:val="000000" w:themeColor="text1"/>
        </w:rPr>
        <w:t xml:space="preserve"> </w:t>
      </w:r>
      <w:r>
        <w:rPr>
          <w:rFonts w:eastAsia="Calibri"/>
          <w:color w:val="000000" w:themeColor="text1"/>
        </w:rPr>
        <w:t>que poderiam induzir corrosão localizada.</w:t>
      </w:r>
    </w:p>
    <w:p w:rsidR="00575A9C" w:rsidRPr="005F013A" w:rsidRDefault="00575A9C" w:rsidP="005F013A">
      <w:pPr>
        <w:tabs>
          <w:tab w:val="left" w:pos="567"/>
        </w:tabs>
        <w:jc w:val="both"/>
      </w:pPr>
    </w:p>
    <w:p w:rsidR="00244B0C" w:rsidRPr="00E94513" w:rsidRDefault="00005335" w:rsidP="005F013A">
      <w:pPr>
        <w:jc w:val="both"/>
        <w:rPr>
          <w:b/>
        </w:rPr>
      </w:pPr>
      <w:r w:rsidRPr="00E94513">
        <w:rPr>
          <w:b/>
        </w:rPr>
        <w:t>Palavras-Chave</w:t>
      </w:r>
      <w:r w:rsidR="004721F4" w:rsidRPr="00E94513">
        <w:rPr>
          <w:b/>
        </w:rPr>
        <w:t xml:space="preserve">: </w:t>
      </w:r>
      <w:r w:rsidR="00E9297D" w:rsidRPr="00E94513">
        <w:rPr>
          <w:b/>
        </w:rPr>
        <w:t>Soldagem; Aço carbono; Baixas temperaturas; Tubulações; Plataformas marítimas</w:t>
      </w:r>
      <w:r w:rsidR="00575A9C" w:rsidRPr="00E94513">
        <w:rPr>
          <w:b/>
        </w:rPr>
        <w:t>.</w:t>
      </w:r>
    </w:p>
    <w:p w:rsidR="00F75E26" w:rsidRPr="005F013A" w:rsidRDefault="00F75E26" w:rsidP="005F013A">
      <w:pPr>
        <w:tabs>
          <w:tab w:val="left" w:pos="567"/>
          <w:tab w:val="left" w:pos="709"/>
        </w:tabs>
        <w:spacing w:after="120"/>
        <w:jc w:val="both"/>
        <w:rPr>
          <w:bCs/>
        </w:rPr>
      </w:pPr>
    </w:p>
    <w:p w:rsidR="00DC0499" w:rsidRPr="005F013A" w:rsidRDefault="00234EE1" w:rsidP="005F013A">
      <w:pPr>
        <w:tabs>
          <w:tab w:val="left" w:pos="567"/>
          <w:tab w:val="left" w:pos="709"/>
        </w:tabs>
        <w:autoSpaceDE w:val="0"/>
        <w:autoSpaceDN w:val="0"/>
        <w:adjustRightInd w:val="0"/>
        <w:spacing w:after="120"/>
        <w:jc w:val="both"/>
        <w:rPr>
          <w:b/>
          <w:bCs/>
          <w:lang w:val="en-US"/>
        </w:rPr>
      </w:pPr>
      <w:r w:rsidRPr="005F013A">
        <w:rPr>
          <w:b/>
          <w:bCs/>
          <w:lang w:val="en-US"/>
        </w:rPr>
        <w:t>Summary</w:t>
      </w:r>
      <w:r w:rsidR="002C6036" w:rsidRPr="005F013A">
        <w:rPr>
          <w:b/>
          <w:bCs/>
          <w:lang w:val="en-US"/>
        </w:rPr>
        <w:t xml:space="preserve"> </w:t>
      </w:r>
    </w:p>
    <w:p w:rsidR="005F1D34" w:rsidRDefault="00E9297D" w:rsidP="005F013A">
      <w:pPr>
        <w:tabs>
          <w:tab w:val="left" w:pos="567"/>
          <w:tab w:val="left" w:pos="709"/>
        </w:tabs>
        <w:autoSpaceDE w:val="0"/>
        <w:autoSpaceDN w:val="0"/>
        <w:adjustRightInd w:val="0"/>
        <w:spacing w:after="120"/>
        <w:jc w:val="both"/>
        <w:rPr>
          <w:color w:val="212121"/>
          <w:lang w:val="en"/>
        </w:rPr>
      </w:pPr>
      <w:r w:rsidRPr="00E9297D">
        <w:rPr>
          <w:color w:val="212121"/>
          <w:lang w:val="en"/>
        </w:rPr>
        <w:t>This work examined the case of employing a filler metal consisting of carbon steel (ER 70S3) to realize the welding of ASTM A333 tubes, used at low temperatures, instead of using special consumables specified to low temperatures work, such as Ni2 ER 80S. The three main points considered in this study were: (1) compatibility between the materials involved; (2) analysis of the specific characteristics of steel, employed grade and pipeline specification and; (3) longevity of the line, which can be damaged by long-term chemical variations of the metals used that could induce pitting corrosion.</w:t>
      </w:r>
    </w:p>
    <w:p w:rsidR="00E9297D" w:rsidRPr="005F013A" w:rsidRDefault="00E9297D" w:rsidP="00850A7E">
      <w:pPr>
        <w:tabs>
          <w:tab w:val="left" w:pos="567"/>
          <w:tab w:val="left" w:pos="709"/>
        </w:tabs>
        <w:autoSpaceDE w:val="0"/>
        <w:autoSpaceDN w:val="0"/>
        <w:adjustRightInd w:val="0"/>
        <w:jc w:val="both"/>
        <w:rPr>
          <w:lang w:val="en-US"/>
        </w:rPr>
      </w:pPr>
    </w:p>
    <w:p w:rsidR="00705AA9" w:rsidRPr="00E94513" w:rsidRDefault="00705AA9" w:rsidP="00850A7E">
      <w:pPr>
        <w:tabs>
          <w:tab w:val="left" w:pos="567"/>
          <w:tab w:val="left" w:pos="709"/>
        </w:tabs>
        <w:autoSpaceDE w:val="0"/>
        <w:autoSpaceDN w:val="0"/>
        <w:adjustRightInd w:val="0"/>
        <w:jc w:val="both"/>
        <w:rPr>
          <w:b/>
          <w:iCs/>
          <w:lang w:val="en-US"/>
        </w:rPr>
      </w:pPr>
      <w:r w:rsidRPr="00E94513">
        <w:rPr>
          <w:b/>
          <w:iCs/>
          <w:lang w:val="en-US"/>
        </w:rPr>
        <w:t xml:space="preserve">Keywords: </w:t>
      </w:r>
      <w:r w:rsidR="00E9297D" w:rsidRPr="00E94513">
        <w:rPr>
          <w:b/>
          <w:iCs/>
          <w:lang w:val="en-US"/>
        </w:rPr>
        <w:t>Welding; Carbon Steel; Low temperature; Pipeline; Off-Shore platforms.</w:t>
      </w:r>
    </w:p>
    <w:p w:rsidR="0063252C" w:rsidRDefault="0063252C" w:rsidP="00850A7E">
      <w:pPr>
        <w:tabs>
          <w:tab w:val="left" w:pos="567"/>
          <w:tab w:val="left" w:pos="709"/>
        </w:tabs>
        <w:jc w:val="both"/>
        <w:rPr>
          <w:bCs/>
          <w:i/>
          <w:lang w:val="en-US"/>
        </w:rPr>
      </w:pPr>
    </w:p>
    <w:p w:rsidR="00625B8B" w:rsidRDefault="00625B8B" w:rsidP="00625B8B">
      <w:pPr>
        <w:tabs>
          <w:tab w:val="left" w:pos="567"/>
        </w:tabs>
        <w:jc w:val="both"/>
        <w:rPr>
          <w:rStyle w:val="apple-converted-space"/>
        </w:rPr>
      </w:pPr>
      <w:r w:rsidRPr="00625B8B">
        <w:rPr>
          <w:rStyle w:val="Forte"/>
        </w:rPr>
        <w:t>Seção 4.</w:t>
      </w:r>
      <w:r w:rsidRPr="00625B8B">
        <w:t> </w:t>
      </w:r>
      <w:r w:rsidRPr="00625B8B">
        <w:rPr>
          <w:b/>
        </w:rPr>
        <w:t>Monografias, artigos científicos  e Trabalhos de Conclusão de Curso (TCC), sobre</w:t>
      </w:r>
      <w:r w:rsidRPr="00625B8B">
        <w:t> </w:t>
      </w:r>
      <w:r w:rsidRPr="00625B8B">
        <w:rPr>
          <w:rStyle w:val="Forte"/>
        </w:rPr>
        <w:t>outros temas e relacionados a qualquer curso</w:t>
      </w:r>
      <w:r w:rsidRPr="00625B8B">
        <w:t>.</w:t>
      </w:r>
    </w:p>
    <w:p w:rsidR="00625B8B" w:rsidRDefault="00625B8B" w:rsidP="00625B8B">
      <w:pPr>
        <w:tabs>
          <w:tab w:val="left" w:pos="567"/>
        </w:tabs>
        <w:jc w:val="both"/>
        <w:rPr>
          <w:rStyle w:val="apple-converted-space"/>
        </w:rPr>
      </w:pPr>
    </w:p>
    <w:p w:rsidR="00625B8B" w:rsidRDefault="00625B8B" w:rsidP="00625B8B">
      <w:pPr>
        <w:tabs>
          <w:tab w:val="left" w:pos="567"/>
        </w:tabs>
        <w:jc w:val="both"/>
        <w:rPr>
          <w:rStyle w:val="apple-converted-space"/>
          <w:b/>
        </w:rPr>
      </w:pPr>
      <w:r>
        <w:rPr>
          <w:rStyle w:val="apple-converted-space"/>
          <w:b/>
        </w:rPr>
        <w:t>Apresentação: Oral</w:t>
      </w:r>
    </w:p>
    <w:p w:rsidR="001B2838" w:rsidRDefault="001B2838" w:rsidP="001B2838">
      <w:pPr>
        <w:jc w:val="both"/>
        <w:rPr>
          <w:b/>
        </w:rPr>
      </w:pPr>
    </w:p>
    <w:p w:rsidR="001B2838" w:rsidRPr="005F013A" w:rsidRDefault="001B2838" w:rsidP="001B2838">
      <w:pPr>
        <w:jc w:val="both"/>
        <w:rPr>
          <w:b/>
        </w:rPr>
      </w:pPr>
    </w:p>
    <w:p w:rsidR="00D50856" w:rsidRPr="005F013A" w:rsidRDefault="00005335" w:rsidP="005F013A">
      <w:pPr>
        <w:jc w:val="both"/>
        <w:rPr>
          <w:b/>
        </w:rPr>
      </w:pPr>
      <w:r w:rsidRPr="005F013A">
        <w:rPr>
          <w:b/>
          <w:smallCaps/>
        </w:rPr>
        <w:t>1</w:t>
      </w:r>
      <w:r w:rsidRPr="005F013A">
        <w:rPr>
          <w:b/>
          <w:i/>
          <w:smallCaps/>
        </w:rPr>
        <w:t xml:space="preserve">. </w:t>
      </w:r>
      <w:r w:rsidR="00254EFE" w:rsidRPr="005F013A">
        <w:rPr>
          <w:b/>
        </w:rPr>
        <w:t>Introdução</w:t>
      </w:r>
    </w:p>
    <w:p w:rsidR="00CE0818" w:rsidRPr="005F013A" w:rsidRDefault="00CE0818" w:rsidP="005F013A">
      <w:pPr>
        <w:jc w:val="both"/>
        <w:rPr>
          <w:b/>
        </w:rPr>
      </w:pPr>
    </w:p>
    <w:p w:rsidR="009D5B39" w:rsidRDefault="00732AFC" w:rsidP="00E94513">
      <w:pPr>
        <w:shd w:val="clear" w:color="auto" w:fill="FFFFFF"/>
        <w:ind w:firstLine="567"/>
        <w:jc w:val="both"/>
        <w:textAlignment w:val="top"/>
        <w:rPr>
          <w:bCs/>
        </w:rPr>
      </w:pPr>
      <w:r w:rsidRPr="00732AFC">
        <w:rPr>
          <w:bCs/>
        </w:rPr>
        <w:t>O sucesso da soldagem está associado a diversos fatores e, em particular, com a sua relativa simplicidade e flexibilidade operacional</w:t>
      </w:r>
      <w:r w:rsidR="00515AC5">
        <w:rPr>
          <w:bCs/>
        </w:rPr>
        <w:t xml:space="preserve"> segundo</w:t>
      </w:r>
      <w:r w:rsidRPr="00732AFC">
        <w:rPr>
          <w:bCs/>
        </w:rPr>
        <w:t xml:space="preserve"> </w:t>
      </w:r>
      <w:r w:rsidR="0061284C">
        <w:rPr>
          <w:bCs/>
        </w:rPr>
        <w:t>L</w:t>
      </w:r>
      <w:r w:rsidR="009D5B39">
        <w:rPr>
          <w:bCs/>
        </w:rPr>
        <w:t>ancaster</w:t>
      </w:r>
      <w:r w:rsidR="0061284C">
        <w:rPr>
          <w:bCs/>
        </w:rPr>
        <w:t xml:space="preserve"> </w:t>
      </w:r>
      <w:r w:rsidR="009D5B39">
        <w:rPr>
          <w:bCs/>
        </w:rPr>
        <w:t>(</w:t>
      </w:r>
      <w:r w:rsidR="0061284C">
        <w:rPr>
          <w:bCs/>
        </w:rPr>
        <w:t>1997)</w:t>
      </w:r>
      <w:r w:rsidRPr="00732AFC">
        <w:rPr>
          <w:bCs/>
        </w:rPr>
        <w:t>. Por outro lado, não pode ser esquecido que a soldagem muitas vezes torna-se um processo traumático para o material, envolvendo, em geral, a aplicação de uma elevada densidade de energia em um pequeno volume do material, o que pode levar a importantes alterações estruturais e de propriedades dentro</w:t>
      </w:r>
      <w:r w:rsidR="0061284C">
        <w:rPr>
          <w:bCs/>
        </w:rPr>
        <w:t xml:space="preserve"> e próximo da região da solda</w:t>
      </w:r>
      <w:r w:rsidR="00515AC5">
        <w:rPr>
          <w:bCs/>
        </w:rPr>
        <w:t xml:space="preserve"> conforme</w:t>
      </w:r>
      <w:r w:rsidR="0061284C">
        <w:rPr>
          <w:bCs/>
        </w:rPr>
        <w:t xml:space="preserve"> </w:t>
      </w:r>
      <w:r w:rsidR="009D5B39" w:rsidRPr="009D5B39">
        <w:rPr>
          <w:bCs/>
        </w:rPr>
        <w:t xml:space="preserve">Morais, Magnabosco e Netto (2009). </w:t>
      </w:r>
    </w:p>
    <w:p w:rsidR="00732AFC" w:rsidRPr="00732AFC" w:rsidRDefault="00732AFC" w:rsidP="00E94513">
      <w:pPr>
        <w:shd w:val="clear" w:color="auto" w:fill="FFFFFF"/>
        <w:ind w:firstLine="567"/>
        <w:jc w:val="both"/>
        <w:textAlignment w:val="top"/>
        <w:rPr>
          <w:bCs/>
        </w:rPr>
      </w:pPr>
      <w:r w:rsidRPr="00732AFC">
        <w:rPr>
          <w:bCs/>
        </w:rPr>
        <w:t>O desconhecimento ou a simples desconsideração das implicações desta característica fundamental pode resultar em problemas inespera</w:t>
      </w:r>
      <w:r w:rsidR="0061284C">
        <w:rPr>
          <w:bCs/>
        </w:rPr>
        <w:t>dos e, em alguns casos, graves</w:t>
      </w:r>
      <w:r w:rsidR="009D5B39">
        <w:rPr>
          <w:bCs/>
        </w:rPr>
        <w:t>,</w:t>
      </w:r>
      <w:r w:rsidR="00515AC5">
        <w:rPr>
          <w:bCs/>
        </w:rPr>
        <w:t xml:space="preserve"> segundo</w:t>
      </w:r>
      <w:r w:rsidR="009D5B39">
        <w:rPr>
          <w:bCs/>
        </w:rPr>
        <w:t xml:space="preserve"> </w:t>
      </w:r>
      <w:r w:rsidR="009D5B39" w:rsidRPr="009D5B39">
        <w:rPr>
          <w:bCs/>
        </w:rPr>
        <w:t>M</w:t>
      </w:r>
      <w:r w:rsidR="009D5B39">
        <w:rPr>
          <w:bCs/>
        </w:rPr>
        <w:t>odenesi</w:t>
      </w:r>
      <w:r w:rsidR="009D5B39" w:rsidRPr="009D5B39">
        <w:rPr>
          <w:bCs/>
        </w:rPr>
        <w:t>, M</w:t>
      </w:r>
      <w:r w:rsidR="009D5B39">
        <w:rPr>
          <w:bCs/>
        </w:rPr>
        <w:t>arques</w:t>
      </w:r>
      <w:r w:rsidR="00A1459A">
        <w:rPr>
          <w:bCs/>
        </w:rPr>
        <w:t xml:space="preserve"> e</w:t>
      </w:r>
      <w:r w:rsidR="009D5B39">
        <w:rPr>
          <w:bCs/>
        </w:rPr>
        <w:t xml:space="preserve"> </w:t>
      </w:r>
      <w:r w:rsidR="009D5B39" w:rsidRPr="009D5B39">
        <w:rPr>
          <w:bCs/>
        </w:rPr>
        <w:t>B</w:t>
      </w:r>
      <w:r w:rsidR="009D5B39">
        <w:rPr>
          <w:bCs/>
        </w:rPr>
        <w:t>racarense</w:t>
      </w:r>
      <w:r w:rsidR="0061284C">
        <w:rPr>
          <w:bCs/>
        </w:rPr>
        <w:t xml:space="preserve"> </w:t>
      </w:r>
      <w:r w:rsidR="009D5B39">
        <w:rPr>
          <w:bCs/>
        </w:rPr>
        <w:t>(</w:t>
      </w:r>
      <w:r w:rsidR="0061284C">
        <w:rPr>
          <w:bCs/>
        </w:rPr>
        <w:t>2007)</w:t>
      </w:r>
      <w:r w:rsidRPr="00732AFC">
        <w:rPr>
          <w:bCs/>
        </w:rPr>
        <w:t>. Estes problemas podem se refletir tanto em atrasos na fabricação ou em gastos inesperados, quando o problema é prontamente detectado, ou mesmo em perdas materiais e, eventualmente, de vidas, quando o problema é levado às suas últimas consequências.</w:t>
      </w:r>
    </w:p>
    <w:p w:rsidR="00732AFC" w:rsidRPr="00732AFC" w:rsidRDefault="00732AFC" w:rsidP="00E94513">
      <w:pPr>
        <w:shd w:val="clear" w:color="auto" w:fill="FFFFFF"/>
        <w:ind w:firstLine="567"/>
        <w:jc w:val="both"/>
        <w:textAlignment w:val="top"/>
        <w:rPr>
          <w:bCs/>
        </w:rPr>
      </w:pPr>
      <w:r w:rsidRPr="00732AFC">
        <w:rPr>
          <w:bCs/>
        </w:rPr>
        <w:t xml:space="preserve">Todo o processo de união de metais, </w:t>
      </w:r>
      <w:r w:rsidR="00F46DFE">
        <w:rPr>
          <w:bCs/>
        </w:rPr>
        <w:t>seja de</w:t>
      </w:r>
      <w:r w:rsidRPr="00732AFC">
        <w:rPr>
          <w:bCs/>
        </w:rPr>
        <w:t xml:space="preserve"> componentes mecânicos ou estruturais, através da técnica de soldagem</w:t>
      </w:r>
      <w:r w:rsidR="00F46DFE">
        <w:rPr>
          <w:bCs/>
        </w:rPr>
        <w:t>,</w:t>
      </w:r>
      <w:r w:rsidRPr="00732AFC">
        <w:rPr>
          <w:bCs/>
        </w:rPr>
        <w:t xml:space="preserve"> tem que ser avaliado integralmente para a verificação e comprovação do desempenho do novo componente. Particularmente, para especificar corretamente o processo e o consumível de solda mais adequado é necessário conhecer o tipo de material que será soldado. Neste contexto, deve-se considerar que o princípio básico da soldagem é gerar uma união que apresente características químicas, físicas, mecânicas e geométricas as mais próximas o possível dos materiais e estruturas que estão sendo unidos para garantir sua confiabilidade</w:t>
      </w:r>
      <w:r w:rsidR="00515AC5">
        <w:rPr>
          <w:bCs/>
        </w:rPr>
        <w:t xml:space="preserve"> conforme</w:t>
      </w:r>
      <w:r w:rsidR="0061284C">
        <w:rPr>
          <w:bCs/>
        </w:rPr>
        <w:t xml:space="preserve"> L</w:t>
      </w:r>
      <w:r w:rsidR="00FC5A6C">
        <w:rPr>
          <w:bCs/>
        </w:rPr>
        <w:t>ancaster</w:t>
      </w:r>
      <w:r w:rsidR="0061284C">
        <w:rPr>
          <w:bCs/>
        </w:rPr>
        <w:t xml:space="preserve"> </w:t>
      </w:r>
      <w:r w:rsidR="00FC5A6C">
        <w:rPr>
          <w:bCs/>
        </w:rPr>
        <w:t>(</w:t>
      </w:r>
      <w:r w:rsidR="0061284C">
        <w:rPr>
          <w:bCs/>
        </w:rPr>
        <w:t>1997</w:t>
      </w:r>
      <w:r w:rsidR="00FC5A6C">
        <w:rPr>
          <w:bCs/>
        </w:rPr>
        <w:t>)</w:t>
      </w:r>
      <w:r w:rsidR="0061284C">
        <w:rPr>
          <w:bCs/>
        </w:rPr>
        <w:t xml:space="preserve"> e </w:t>
      </w:r>
      <w:r w:rsidR="00FC5A6C" w:rsidRPr="009D5B39">
        <w:rPr>
          <w:bCs/>
        </w:rPr>
        <w:t>M</w:t>
      </w:r>
      <w:r w:rsidR="00FC5A6C">
        <w:rPr>
          <w:bCs/>
        </w:rPr>
        <w:t>odenesi</w:t>
      </w:r>
      <w:r w:rsidR="00FC5A6C" w:rsidRPr="009D5B39">
        <w:rPr>
          <w:bCs/>
        </w:rPr>
        <w:t>, M</w:t>
      </w:r>
      <w:r w:rsidR="00FC5A6C">
        <w:rPr>
          <w:bCs/>
        </w:rPr>
        <w:t>arques</w:t>
      </w:r>
      <w:r w:rsidR="00A1459A">
        <w:rPr>
          <w:bCs/>
        </w:rPr>
        <w:t xml:space="preserve"> e</w:t>
      </w:r>
      <w:r w:rsidR="00FC5A6C">
        <w:rPr>
          <w:bCs/>
        </w:rPr>
        <w:t xml:space="preserve"> </w:t>
      </w:r>
      <w:r w:rsidR="00FC5A6C" w:rsidRPr="009D5B39">
        <w:rPr>
          <w:bCs/>
        </w:rPr>
        <w:t>B</w:t>
      </w:r>
      <w:r w:rsidR="00FC5A6C">
        <w:rPr>
          <w:bCs/>
        </w:rPr>
        <w:t>racarense (2007)</w:t>
      </w:r>
      <w:r w:rsidR="00FC5A6C" w:rsidRPr="00732AFC">
        <w:rPr>
          <w:bCs/>
        </w:rPr>
        <w:t>.</w:t>
      </w:r>
    </w:p>
    <w:p w:rsidR="00A45E8A" w:rsidRDefault="00732AFC" w:rsidP="00E94513">
      <w:pPr>
        <w:shd w:val="clear" w:color="auto" w:fill="FFFFFF"/>
        <w:ind w:firstLine="567"/>
        <w:jc w:val="both"/>
        <w:textAlignment w:val="top"/>
        <w:rPr>
          <w:bCs/>
        </w:rPr>
      </w:pPr>
      <w:r w:rsidRPr="00732AFC">
        <w:rPr>
          <w:bCs/>
        </w:rPr>
        <w:t xml:space="preserve">O presente trabalho analisa a real necessidade do emprego de consumíveis especiais, tal como o ER 80S Ni2 </w:t>
      </w:r>
      <w:r w:rsidR="002561EE">
        <w:rPr>
          <w:bCs/>
        </w:rPr>
        <w:t>(ASME, 2010)</w:t>
      </w:r>
      <w:r w:rsidRPr="00732AFC">
        <w:rPr>
          <w:bCs/>
        </w:rPr>
        <w:t xml:space="preserve">, na soldagem de tubos de aço carbono </w:t>
      </w:r>
      <w:r w:rsidRPr="00732AFC">
        <w:rPr>
          <w:bCs/>
        </w:rPr>
        <w:lastRenderedPageBreak/>
        <w:t xml:space="preserve">ASTM A333 Gr.6 </w:t>
      </w:r>
      <w:r w:rsidR="002561EE">
        <w:rPr>
          <w:bCs/>
        </w:rPr>
        <w:t>(ASTM, 2013)</w:t>
      </w:r>
      <w:r w:rsidRPr="00732AFC">
        <w:rPr>
          <w:bCs/>
        </w:rPr>
        <w:t xml:space="preserve">. Neste caso, os tubos, especificados por norma para atuar em temperaturas até -45°C, estão sendo empregados em uma linha projetada para trabalhar com fluídos a 0°C, atingindo possíveis picos de -20°C. Apesar do consumível ER 80S Ni2 ser especificado para uso em baixas temperaturas, este possui uma composição química e características técnicas que não recomendariam o seu emprego na tubulação estudada, que é empregada em uma plataforma </w:t>
      </w:r>
      <w:r w:rsidRPr="00732AFC">
        <w:rPr>
          <w:bCs/>
          <w:i/>
        </w:rPr>
        <w:t>off-shore</w:t>
      </w:r>
      <w:r w:rsidRPr="00732AFC">
        <w:rPr>
          <w:bCs/>
        </w:rPr>
        <w:t>.</w:t>
      </w:r>
    </w:p>
    <w:p w:rsidR="009166F1" w:rsidRDefault="009166F1" w:rsidP="009166F1">
      <w:pPr>
        <w:rPr>
          <w:b/>
          <w:smallCaps/>
        </w:rPr>
      </w:pPr>
    </w:p>
    <w:p w:rsidR="00A45C75" w:rsidRPr="005F013A" w:rsidRDefault="00785984" w:rsidP="009166F1">
      <w:pPr>
        <w:rPr>
          <w:b/>
        </w:rPr>
      </w:pPr>
      <w:r>
        <w:rPr>
          <w:b/>
          <w:smallCaps/>
        </w:rPr>
        <w:t>2</w:t>
      </w:r>
      <w:r w:rsidR="00A45C75" w:rsidRPr="005F013A">
        <w:rPr>
          <w:b/>
          <w:smallCaps/>
        </w:rPr>
        <w:t xml:space="preserve">. </w:t>
      </w:r>
      <w:r w:rsidR="001861AB" w:rsidRPr="005F013A">
        <w:rPr>
          <w:b/>
        </w:rPr>
        <w:t xml:space="preserve">Materiais e </w:t>
      </w:r>
      <w:r w:rsidR="000C62EE">
        <w:rPr>
          <w:b/>
        </w:rPr>
        <w:t>m</w:t>
      </w:r>
      <w:r w:rsidR="00A45C75" w:rsidRPr="005F013A">
        <w:rPr>
          <w:b/>
        </w:rPr>
        <w:t>étodo</w:t>
      </w:r>
      <w:r w:rsidR="00DE3883">
        <w:rPr>
          <w:b/>
        </w:rPr>
        <w:t>s</w:t>
      </w:r>
    </w:p>
    <w:p w:rsidR="00575A9C" w:rsidRPr="005F013A" w:rsidRDefault="00575A9C" w:rsidP="005F013A">
      <w:pPr>
        <w:jc w:val="both"/>
        <w:rPr>
          <w:b/>
        </w:rPr>
      </w:pPr>
    </w:p>
    <w:p w:rsidR="00A45E8A" w:rsidRDefault="00850A7E" w:rsidP="00E94513">
      <w:pPr>
        <w:shd w:val="clear" w:color="auto" w:fill="FFFFFF"/>
        <w:ind w:firstLine="567"/>
        <w:jc w:val="both"/>
        <w:textAlignment w:val="top"/>
        <w:rPr>
          <w:bCs/>
        </w:rPr>
      </w:pPr>
      <w:r w:rsidRPr="00850A7E">
        <w:rPr>
          <w:bCs/>
        </w:rPr>
        <w:t>A correta definição do tipo de consumível de solda a ser empregado requer uma correta descrição dos materiais envolvidos, conforme descrito a seguir.</w:t>
      </w:r>
    </w:p>
    <w:p w:rsidR="00A45E8A" w:rsidRDefault="00A45E8A" w:rsidP="00394EB1">
      <w:pPr>
        <w:shd w:val="clear" w:color="auto" w:fill="FFFFFF"/>
        <w:ind w:firstLine="708"/>
        <w:jc w:val="both"/>
        <w:textAlignment w:val="top"/>
        <w:rPr>
          <w:bCs/>
        </w:rPr>
      </w:pPr>
    </w:p>
    <w:p w:rsidR="00A83B8D" w:rsidRPr="005F013A" w:rsidRDefault="00A83B8D" w:rsidP="00A83B8D">
      <w:pPr>
        <w:jc w:val="both"/>
        <w:rPr>
          <w:b/>
        </w:rPr>
      </w:pPr>
      <w:r>
        <w:rPr>
          <w:b/>
          <w:smallCaps/>
        </w:rPr>
        <w:t>2</w:t>
      </w:r>
      <w:r w:rsidRPr="005F013A">
        <w:rPr>
          <w:b/>
          <w:smallCaps/>
        </w:rPr>
        <w:t>.</w:t>
      </w:r>
      <w:r>
        <w:rPr>
          <w:b/>
          <w:smallCaps/>
        </w:rPr>
        <w:t>1</w:t>
      </w:r>
      <w:r w:rsidRPr="005F013A">
        <w:rPr>
          <w:b/>
          <w:smallCaps/>
        </w:rPr>
        <w:t xml:space="preserve"> </w:t>
      </w:r>
      <w:r w:rsidRPr="00A83B8D">
        <w:rPr>
          <w:b/>
        </w:rPr>
        <w:t>Descrição do Material dos Tubos</w:t>
      </w:r>
    </w:p>
    <w:p w:rsidR="00A83B8D" w:rsidRDefault="00A83B8D" w:rsidP="00394EB1">
      <w:pPr>
        <w:shd w:val="clear" w:color="auto" w:fill="FFFFFF"/>
        <w:ind w:firstLine="708"/>
        <w:jc w:val="both"/>
        <w:textAlignment w:val="top"/>
        <w:rPr>
          <w:bCs/>
        </w:rPr>
      </w:pPr>
    </w:p>
    <w:p w:rsidR="00A83B8D" w:rsidRDefault="00A83B8D" w:rsidP="00E94513">
      <w:pPr>
        <w:shd w:val="clear" w:color="auto" w:fill="FFFFFF"/>
        <w:ind w:firstLine="567"/>
        <w:jc w:val="both"/>
        <w:textAlignment w:val="top"/>
        <w:rPr>
          <w:bCs/>
        </w:rPr>
      </w:pPr>
      <w:r w:rsidRPr="00A83B8D">
        <w:rPr>
          <w:bCs/>
        </w:rPr>
        <w:t>A norma aplicável para os tubos analisados é a ASTM A333 (</w:t>
      </w:r>
      <w:r w:rsidRPr="00A83B8D">
        <w:rPr>
          <w:bCs/>
          <w:i/>
        </w:rPr>
        <w:t>Standard Specification for Seamless and Welded Steel Pipe for Low-Temperature Service and Other Applications with Required Notch Toughness</w:t>
      </w:r>
      <w:r w:rsidRPr="00A83B8D">
        <w:rPr>
          <w:bCs/>
        </w:rPr>
        <w:t>)</w:t>
      </w:r>
      <w:r w:rsidR="009166F1">
        <w:rPr>
          <w:bCs/>
        </w:rPr>
        <w:t xml:space="preserve"> </w:t>
      </w:r>
      <w:r w:rsidR="009166F1" w:rsidRPr="009166F1">
        <w:rPr>
          <w:bCs/>
        </w:rPr>
        <w:t>(ASTM, 2013)</w:t>
      </w:r>
      <w:r w:rsidRPr="00A83B8D">
        <w:rPr>
          <w:bCs/>
        </w:rPr>
        <w:t>. Esta norma especifica características químicas e mecânicas para tubos sem costura ou com costura (produzidos a partir de chapas conformadas e soldadas) de aço carbono ou aço baixa liga destinado a aplicações em baixas temperaturas (entre -45 a -195°C).</w:t>
      </w:r>
    </w:p>
    <w:p w:rsidR="00A83B8D" w:rsidRDefault="00A83B8D" w:rsidP="00394EB1">
      <w:pPr>
        <w:shd w:val="clear" w:color="auto" w:fill="FFFFFF"/>
        <w:ind w:firstLine="708"/>
        <w:jc w:val="both"/>
        <w:textAlignment w:val="top"/>
        <w:rPr>
          <w:bCs/>
        </w:rPr>
      </w:pPr>
    </w:p>
    <w:p w:rsidR="00A83B8D" w:rsidRPr="005F013A" w:rsidRDefault="00A83B8D" w:rsidP="00A83B8D">
      <w:pPr>
        <w:jc w:val="both"/>
        <w:rPr>
          <w:b/>
        </w:rPr>
      </w:pPr>
      <w:r>
        <w:rPr>
          <w:b/>
          <w:smallCaps/>
        </w:rPr>
        <w:t>2</w:t>
      </w:r>
      <w:r w:rsidRPr="005F013A">
        <w:rPr>
          <w:b/>
          <w:smallCaps/>
        </w:rPr>
        <w:t>.</w:t>
      </w:r>
      <w:r>
        <w:rPr>
          <w:b/>
          <w:smallCaps/>
        </w:rPr>
        <w:t>1.1</w:t>
      </w:r>
      <w:r w:rsidRPr="005F013A">
        <w:rPr>
          <w:b/>
          <w:smallCaps/>
        </w:rPr>
        <w:t xml:space="preserve"> </w:t>
      </w:r>
      <w:r w:rsidRPr="00A83B8D">
        <w:rPr>
          <w:b/>
        </w:rPr>
        <w:t>Composição química</w:t>
      </w:r>
    </w:p>
    <w:p w:rsidR="00A83B8D" w:rsidRDefault="00A83B8D" w:rsidP="00A83B8D">
      <w:pPr>
        <w:shd w:val="clear" w:color="auto" w:fill="FFFFFF"/>
        <w:ind w:firstLine="708"/>
        <w:jc w:val="both"/>
        <w:textAlignment w:val="top"/>
        <w:rPr>
          <w:bCs/>
        </w:rPr>
      </w:pPr>
    </w:p>
    <w:p w:rsidR="00A83B8D" w:rsidRDefault="00A83B8D" w:rsidP="00E94513">
      <w:pPr>
        <w:shd w:val="clear" w:color="auto" w:fill="FFFFFF"/>
        <w:ind w:firstLine="567"/>
        <w:jc w:val="both"/>
        <w:textAlignment w:val="top"/>
        <w:rPr>
          <w:bCs/>
        </w:rPr>
      </w:pPr>
      <w:r w:rsidRPr="00A83B8D">
        <w:rPr>
          <w:bCs/>
        </w:rPr>
        <w:t>A norma ASTM A333 especifica 8 graus de aço em termos de composições químicas. Conforme descrito pela Tabela 1, reproduzida diretamente da norma. A ASTM A333 não exige a adição de elementos de liga especiais (além do carbono, manganês e silício) para os graus 1, 6 e 1</w:t>
      </w:r>
      <w:r w:rsidR="009166F1">
        <w:rPr>
          <w:bCs/>
        </w:rPr>
        <w:t xml:space="preserve">0. </w:t>
      </w:r>
      <w:r w:rsidR="0032190A">
        <w:rPr>
          <w:bCs/>
        </w:rPr>
        <w:t>Além disso,</w:t>
      </w:r>
      <w:r w:rsidR="009166F1">
        <w:rPr>
          <w:bCs/>
        </w:rPr>
        <w:t xml:space="preserve"> a norma ASTM A333</w:t>
      </w:r>
      <w:r w:rsidRPr="00A83B8D">
        <w:rPr>
          <w:bCs/>
        </w:rPr>
        <w:t xml:space="preserve"> faz a seguinte exigência, conforme descrita no item 6, para os graus nos quais não se prevê adição de Níquel e de outros elementos de liga especiais:</w:t>
      </w:r>
    </w:p>
    <w:p w:rsidR="00A83B8D" w:rsidRDefault="00A83B8D" w:rsidP="00394EB1">
      <w:pPr>
        <w:shd w:val="clear" w:color="auto" w:fill="FFFFFF"/>
        <w:ind w:firstLine="708"/>
        <w:jc w:val="both"/>
        <w:textAlignment w:val="top"/>
        <w:rPr>
          <w:bCs/>
        </w:rPr>
      </w:pPr>
    </w:p>
    <w:p w:rsidR="00A83B8D" w:rsidRPr="00A83B8D" w:rsidRDefault="00A83B8D" w:rsidP="00A83B8D">
      <w:pPr>
        <w:shd w:val="clear" w:color="auto" w:fill="FFFFFF"/>
        <w:ind w:left="708"/>
        <w:jc w:val="both"/>
        <w:textAlignment w:val="top"/>
        <w:rPr>
          <w:bCs/>
          <w:i/>
        </w:rPr>
      </w:pPr>
      <w:r w:rsidRPr="00A83B8D">
        <w:rPr>
          <w:bCs/>
          <w:i/>
          <w:sz w:val="22"/>
        </w:rPr>
        <w:t>“When grades 1, 6, or 10 are ordered under this specification, supplying na alloy grade that specifically requires the addition of any elemento other than those listed for the ordered grade in Table 1 is not permitted. However, the addition of elements required for the deoxidation of the steel is permitted.”</w:t>
      </w:r>
    </w:p>
    <w:p w:rsidR="00A83B8D" w:rsidRDefault="00A83B8D" w:rsidP="00394EB1">
      <w:pPr>
        <w:shd w:val="clear" w:color="auto" w:fill="FFFFFF"/>
        <w:ind w:firstLine="708"/>
        <w:jc w:val="both"/>
        <w:textAlignment w:val="top"/>
        <w:rPr>
          <w:bCs/>
        </w:rPr>
      </w:pPr>
    </w:p>
    <w:p w:rsidR="001B2838" w:rsidRDefault="001B2838" w:rsidP="001B2838">
      <w:pPr>
        <w:shd w:val="clear" w:color="auto" w:fill="FFFFFF"/>
        <w:ind w:firstLine="567"/>
        <w:jc w:val="both"/>
        <w:textAlignment w:val="top"/>
        <w:rPr>
          <w:bCs/>
        </w:rPr>
      </w:pPr>
      <w:r w:rsidRPr="00A83B8D">
        <w:rPr>
          <w:bCs/>
        </w:rPr>
        <w:t xml:space="preserve">Esta passagem </w:t>
      </w:r>
      <w:r>
        <w:rPr>
          <w:bCs/>
        </w:rPr>
        <w:t>da</w:t>
      </w:r>
      <w:r w:rsidRPr="00A83B8D">
        <w:rPr>
          <w:bCs/>
        </w:rPr>
        <w:t xml:space="preserve"> norma ASTM A333</w:t>
      </w:r>
      <w:r>
        <w:rPr>
          <w:bCs/>
        </w:rPr>
        <w:t xml:space="preserve"> deixa </w:t>
      </w:r>
      <w:r w:rsidRPr="00A83B8D">
        <w:rPr>
          <w:bCs/>
        </w:rPr>
        <w:t>explícito que não podem ser empregados outros elementos além daqueles cujos limites foram citados na tabela de composições químicas desta norma (Tabela 1). Ou seja, a norma não permite que sejam adicionados os elementos Níquel, Cromo, Cobre, Vanádio, Nióbio, Molibdênio e Cobalto aos aços nos graus 1, 6 e 10, empregados para produzir tubos. A exceção seria para os elementos Alumínio e Silício, reconhecidamente empregados pelas siderúrgicas para a desoxidação do</w:t>
      </w:r>
      <w:r>
        <w:rPr>
          <w:bCs/>
        </w:rPr>
        <w:t>s aços, ainda no estado líquido, conforme o Guia da Siderurgia Brasileira e Metais não ferrosos (2014)</w:t>
      </w:r>
      <w:r w:rsidRPr="00A83B8D">
        <w:rPr>
          <w:bCs/>
        </w:rPr>
        <w:t>. Para os demais graus, a norma exige pelo ao menos a adição de Níquel, além de outros elementos que devem estar presentes além do Níquel, em função do grau considerado da norma.</w:t>
      </w:r>
    </w:p>
    <w:p w:rsidR="001B2838" w:rsidRDefault="001B2838" w:rsidP="00394EB1">
      <w:pPr>
        <w:shd w:val="clear" w:color="auto" w:fill="FFFFFF"/>
        <w:ind w:firstLine="708"/>
        <w:jc w:val="both"/>
        <w:textAlignment w:val="top"/>
        <w:rPr>
          <w:bCs/>
        </w:rPr>
      </w:pPr>
    </w:p>
    <w:p w:rsidR="000F148A" w:rsidRDefault="000F148A" w:rsidP="000F148A">
      <w:pPr>
        <w:shd w:val="clear" w:color="auto" w:fill="FFFFFF"/>
        <w:jc w:val="both"/>
        <w:textAlignment w:val="top"/>
        <w:rPr>
          <w:bCs/>
        </w:rPr>
      </w:pPr>
      <w:r>
        <w:rPr>
          <w:noProof/>
        </w:rPr>
        <w:lastRenderedPageBreak/>
        <w:drawing>
          <wp:inline distT="0" distB="0" distL="0" distR="0" wp14:anchorId="7C69577E" wp14:editId="704E7C00">
            <wp:extent cx="5747385" cy="1737360"/>
            <wp:effectExtent l="0" t="0" r="5715" b="0"/>
            <wp:docPr id="24" name="Imagem 24" descr="C:\Users\WillyAnk\Documents\ARTIGOS\2016\ABM Week\29999 - Uso de aço carbono ou liga de níquel\04-02-2015 - Uso do ER 70S3 no lugar do ER 80S Ni2\Tabel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llyAnk\Documents\ARTIGOS\2016\ABM Week\29999 - Uso de aço carbono ou liga de níquel\04-02-2015 - Uso do ER 70S3 no lugar do ER 80S Ni2\Tabela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47385" cy="1737360"/>
                    </a:xfrm>
                    <a:prstGeom prst="rect">
                      <a:avLst/>
                    </a:prstGeom>
                    <a:noFill/>
                    <a:ln>
                      <a:noFill/>
                    </a:ln>
                  </pic:spPr>
                </pic:pic>
              </a:graphicData>
            </a:graphic>
          </wp:inline>
        </w:drawing>
      </w:r>
    </w:p>
    <w:p w:rsidR="000F148A" w:rsidRPr="009E282D" w:rsidRDefault="000F148A" w:rsidP="000F148A">
      <w:pPr>
        <w:jc w:val="center"/>
        <w:rPr>
          <w:rFonts w:cs="Times New Roman"/>
          <w:color w:val="000000"/>
          <w:sz w:val="20"/>
          <w:szCs w:val="20"/>
        </w:rPr>
      </w:pPr>
    </w:p>
    <w:p w:rsidR="000F148A" w:rsidRPr="009E282D" w:rsidRDefault="000F148A" w:rsidP="000F148A">
      <w:pPr>
        <w:jc w:val="center"/>
        <w:rPr>
          <w:rFonts w:cs="Times New Roman"/>
          <w:color w:val="000000"/>
          <w:sz w:val="20"/>
          <w:szCs w:val="20"/>
        </w:rPr>
      </w:pPr>
      <w:r w:rsidRPr="009E282D">
        <w:rPr>
          <w:rFonts w:cs="Times New Roman"/>
          <w:color w:val="000000"/>
          <w:sz w:val="20"/>
          <w:szCs w:val="20"/>
        </w:rPr>
        <w:t xml:space="preserve">Tabela 1. Composições químicas exigidas para alguns graus da norma ASTM A333 </w:t>
      </w:r>
      <w:r w:rsidR="002561EE">
        <w:rPr>
          <w:rFonts w:cs="Times New Roman"/>
          <w:color w:val="000000"/>
          <w:sz w:val="20"/>
          <w:szCs w:val="20"/>
        </w:rPr>
        <w:t>(ASTM, 2013)</w:t>
      </w:r>
      <w:r w:rsidRPr="009E282D">
        <w:rPr>
          <w:rFonts w:cs="Times New Roman"/>
          <w:color w:val="000000"/>
          <w:sz w:val="20"/>
          <w:szCs w:val="20"/>
        </w:rPr>
        <w:t>.</w:t>
      </w:r>
    </w:p>
    <w:p w:rsidR="000F148A" w:rsidRDefault="000F148A" w:rsidP="00394EB1">
      <w:pPr>
        <w:shd w:val="clear" w:color="auto" w:fill="FFFFFF"/>
        <w:ind w:firstLine="708"/>
        <w:jc w:val="both"/>
        <w:textAlignment w:val="top"/>
        <w:rPr>
          <w:bCs/>
        </w:rPr>
      </w:pPr>
    </w:p>
    <w:p w:rsidR="00A83B8D" w:rsidRDefault="00A83B8D" w:rsidP="00E94513">
      <w:pPr>
        <w:shd w:val="clear" w:color="auto" w:fill="FFFFFF"/>
        <w:ind w:firstLine="567"/>
        <w:jc w:val="both"/>
        <w:textAlignment w:val="top"/>
        <w:rPr>
          <w:bCs/>
        </w:rPr>
      </w:pPr>
      <w:r w:rsidRPr="00A83B8D">
        <w:rPr>
          <w:bCs/>
        </w:rPr>
        <w:t xml:space="preserve">Assim sendo, pode-se concluir que os tubos de aço que atendam a norma ASTM A333, no grau 6 não devem possuir elementos de liga especiais presentes, especialmente Níquel. Adicionalmente, outra norma da mesma normatizadora, a ASTM A1040 </w:t>
      </w:r>
      <w:r w:rsidR="002561EE">
        <w:rPr>
          <w:bCs/>
        </w:rPr>
        <w:t>(ASTM, 2004)</w:t>
      </w:r>
      <w:r w:rsidRPr="00A83B8D">
        <w:rPr>
          <w:bCs/>
        </w:rPr>
        <w:t xml:space="preserve">, informa qual é o teor de níquel que deve ser considerado como o teor máximo presente deste elemento: 0,3%Ni. Assim sendo, pode-se afirmar que os tubos de aço que atendem a norma ASTM A333 Gr. 6 </w:t>
      </w:r>
      <w:r w:rsidR="002561EE">
        <w:rPr>
          <w:bCs/>
        </w:rPr>
        <w:t>(ASTM, 2013)</w:t>
      </w:r>
      <w:r w:rsidRPr="00A83B8D">
        <w:rPr>
          <w:bCs/>
        </w:rPr>
        <w:t xml:space="preserve"> não devem ter um teor de Níquel acima de 0,3%Ni.</w:t>
      </w:r>
    </w:p>
    <w:p w:rsidR="00A83B8D" w:rsidRDefault="00A83B8D" w:rsidP="00A83B8D">
      <w:pPr>
        <w:shd w:val="clear" w:color="auto" w:fill="FFFFFF"/>
        <w:ind w:firstLine="708"/>
        <w:jc w:val="both"/>
        <w:textAlignment w:val="top"/>
        <w:rPr>
          <w:bCs/>
        </w:rPr>
      </w:pPr>
    </w:p>
    <w:p w:rsidR="00A83B8D" w:rsidRPr="005F013A" w:rsidRDefault="00A83B8D" w:rsidP="00A83B8D">
      <w:pPr>
        <w:jc w:val="both"/>
        <w:rPr>
          <w:b/>
        </w:rPr>
      </w:pPr>
      <w:r>
        <w:rPr>
          <w:b/>
          <w:smallCaps/>
        </w:rPr>
        <w:t>2</w:t>
      </w:r>
      <w:r w:rsidRPr="005F013A">
        <w:rPr>
          <w:b/>
          <w:smallCaps/>
        </w:rPr>
        <w:t>.</w:t>
      </w:r>
      <w:r>
        <w:rPr>
          <w:b/>
          <w:smallCaps/>
        </w:rPr>
        <w:t>1.2</w:t>
      </w:r>
      <w:r w:rsidRPr="005F013A">
        <w:rPr>
          <w:b/>
          <w:smallCaps/>
        </w:rPr>
        <w:t xml:space="preserve"> </w:t>
      </w:r>
      <w:r w:rsidRPr="00A83B8D">
        <w:rPr>
          <w:b/>
        </w:rPr>
        <w:t>Propriedades Mecânicas</w:t>
      </w:r>
    </w:p>
    <w:p w:rsidR="00A83B8D" w:rsidRDefault="00A83B8D" w:rsidP="00A83B8D">
      <w:pPr>
        <w:shd w:val="clear" w:color="auto" w:fill="FFFFFF"/>
        <w:ind w:firstLine="708"/>
        <w:jc w:val="both"/>
        <w:textAlignment w:val="top"/>
        <w:rPr>
          <w:bCs/>
        </w:rPr>
      </w:pPr>
    </w:p>
    <w:p w:rsidR="00A83B8D" w:rsidRDefault="009166F1" w:rsidP="00E94513">
      <w:pPr>
        <w:ind w:firstLine="567"/>
        <w:jc w:val="both"/>
        <w:textAlignment w:val="top"/>
        <w:rPr>
          <w:bCs/>
        </w:rPr>
      </w:pPr>
      <w:r>
        <w:rPr>
          <w:bCs/>
        </w:rPr>
        <w:t xml:space="preserve">A norma ASTM A333 </w:t>
      </w:r>
      <w:r w:rsidR="00A83B8D" w:rsidRPr="00397CC0">
        <w:rPr>
          <w:bCs/>
        </w:rPr>
        <w:t>descreve os requisitos mecânicos que devem ser atendidos pelos tubos em cada grau definido pela norma. Os valores de limite de escoamento (S</w:t>
      </w:r>
      <w:r w:rsidR="00A83B8D" w:rsidRPr="00397CC0">
        <w:rPr>
          <w:bCs/>
          <w:vertAlign w:val="subscript"/>
        </w:rPr>
        <w:t>LE</w:t>
      </w:r>
      <w:r w:rsidR="00A83B8D" w:rsidRPr="00397CC0">
        <w:rPr>
          <w:bCs/>
        </w:rPr>
        <w:t>), limite de resistência (S</w:t>
      </w:r>
      <w:r w:rsidR="00A83B8D" w:rsidRPr="00397CC0">
        <w:rPr>
          <w:bCs/>
          <w:vertAlign w:val="subscript"/>
        </w:rPr>
        <w:t>LR</w:t>
      </w:r>
      <w:r w:rsidR="00A83B8D" w:rsidRPr="00397CC0">
        <w:rPr>
          <w:bCs/>
        </w:rPr>
        <w:t xml:space="preserve">) e alongamento que devem ser atendidos são descritos por </w:t>
      </w:r>
      <w:r w:rsidR="00A83B8D">
        <w:rPr>
          <w:bCs/>
        </w:rPr>
        <w:t>uma tabela nesta norma</w:t>
      </w:r>
      <w:r w:rsidR="00A83B8D" w:rsidRPr="00397CC0">
        <w:rPr>
          <w:bCs/>
        </w:rPr>
        <w:t>. Os valores p</w:t>
      </w:r>
      <w:r w:rsidR="00A83B8D">
        <w:rPr>
          <w:bCs/>
        </w:rPr>
        <w:t>ara o limite de escoamento (S</w:t>
      </w:r>
      <w:r w:rsidR="00A83B8D" w:rsidRPr="00397CC0">
        <w:rPr>
          <w:bCs/>
          <w:vertAlign w:val="subscript"/>
        </w:rPr>
        <w:t>LE</w:t>
      </w:r>
      <w:r w:rsidR="00A83B8D">
        <w:rPr>
          <w:bCs/>
        </w:rPr>
        <w:t xml:space="preserve"> </w:t>
      </w:r>
      <w:r w:rsidR="00A83B8D">
        <w:rPr>
          <w:bCs/>
        </w:rPr>
        <w:sym w:font="Symbol" w:char="F0B3"/>
      </w:r>
      <w:r w:rsidR="00A83B8D">
        <w:rPr>
          <w:bCs/>
        </w:rPr>
        <w:t xml:space="preserve"> 2</w:t>
      </w:r>
      <w:r w:rsidR="00A83B8D" w:rsidRPr="00397CC0">
        <w:rPr>
          <w:bCs/>
        </w:rPr>
        <w:t xml:space="preserve">40MPa) </w:t>
      </w:r>
      <w:r w:rsidR="00A83B8D">
        <w:rPr>
          <w:bCs/>
        </w:rPr>
        <w:t>e limite de resistência (S</w:t>
      </w:r>
      <w:r w:rsidR="00A83B8D" w:rsidRPr="00397CC0">
        <w:rPr>
          <w:bCs/>
          <w:vertAlign w:val="subscript"/>
        </w:rPr>
        <w:t>LR</w:t>
      </w:r>
      <w:r w:rsidR="00A83B8D">
        <w:rPr>
          <w:bCs/>
        </w:rPr>
        <w:t xml:space="preserve"> </w:t>
      </w:r>
      <w:r w:rsidR="00A83B8D">
        <w:rPr>
          <w:bCs/>
        </w:rPr>
        <w:sym w:font="Symbol" w:char="F0B3"/>
      </w:r>
      <w:r w:rsidR="00A83B8D">
        <w:rPr>
          <w:bCs/>
        </w:rPr>
        <w:t xml:space="preserve"> </w:t>
      </w:r>
      <w:r w:rsidR="00A83B8D" w:rsidRPr="00397CC0">
        <w:rPr>
          <w:bCs/>
        </w:rPr>
        <w:t>415MPa) a serem atendidos pelos tubos classificados no grau 6 desta norma estão apresentados na Tabela 2.</w:t>
      </w:r>
      <w:r w:rsidR="00A83B8D" w:rsidRPr="00D308E1">
        <w:rPr>
          <w:bCs/>
        </w:rPr>
        <w:t xml:space="preserve"> </w:t>
      </w:r>
      <w:r w:rsidR="00A83B8D" w:rsidRPr="00397CC0">
        <w:rPr>
          <w:bCs/>
        </w:rPr>
        <w:t>Os valores de resistência mecânica para o grau 6 da ASTM A333A</w:t>
      </w:r>
      <w:r w:rsidR="00A83B8D">
        <w:rPr>
          <w:bCs/>
        </w:rPr>
        <w:t xml:space="preserve"> </w:t>
      </w:r>
      <w:r w:rsidR="002561EE">
        <w:rPr>
          <w:bCs/>
        </w:rPr>
        <w:t>(ASTM, 2013)</w:t>
      </w:r>
      <w:r w:rsidR="00A83B8D" w:rsidRPr="00397CC0">
        <w:rPr>
          <w:bCs/>
        </w:rPr>
        <w:t xml:space="preserve"> são característicos de um aço de baixa resistência conforme a ABNT (S</w:t>
      </w:r>
      <w:r w:rsidR="00A83B8D" w:rsidRPr="00397CC0">
        <w:rPr>
          <w:bCs/>
          <w:vertAlign w:val="subscript"/>
        </w:rPr>
        <w:t>LE</w:t>
      </w:r>
      <w:r w:rsidR="00A83B8D">
        <w:rPr>
          <w:bCs/>
        </w:rPr>
        <w:t xml:space="preserve"> </w:t>
      </w:r>
      <w:r w:rsidR="00A83B8D">
        <w:rPr>
          <w:bCs/>
        </w:rPr>
        <w:sym w:font="Symbol" w:char="F0A3"/>
      </w:r>
      <w:r w:rsidR="00A83B8D">
        <w:rPr>
          <w:bCs/>
        </w:rPr>
        <w:t xml:space="preserve"> </w:t>
      </w:r>
      <w:r w:rsidR="00A83B8D" w:rsidRPr="00397CC0">
        <w:rPr>
          <w:bCs/>
        </w:rPr>
        <w:t>280MPa)</w:t>
      </w:r>
      <w:r w:rsidR="00A83B8D">
        <w:rPr>
          <w:bCs/>
        </w:rPr>
        <w:t xml:space="preserve"> </w:t>
      </w:r>
      <w:r w:rsidR="00F976ED">
        <w:rPr>
          <w:bCs/>
        </w:rPr>
        <w:t>conforme Guia da Siderurgia Brasileira e Metais não ferrosos (2014)</w:t>
      </w:r>
      <w:r w:rsidR="00A83B8D">
        <w:rPr>
          <w:bCs/>
        </w:rPr>
        <w:t xml:space="preserve"> e pela própria ASTM</w:t>
      </w:r>
      <w:r w:rsidR="0032190A">
        <w:rPr>
          <w:bCs/>
        </w:rPr>
        <w:t xml:space="preserve"> (2004)</w:t>
      </w:r>
      <w:r w:rsidR="00A83B8D">
        <w:rPr>
          <w:bCs/>
        </w:rPr>
        <w:t xml:space="preserve"> (S</w:t>
      </w:r>
      <w:r w:rsidR="00A83B8D" w:rsidRPr="00397CC0">
        <w:rPr>
          <w:bCs/>
          <w:vertAlign w:val="subscript"/>
        </w:rPr>
        <w:t>LE</w:t>
      </w:r>
      <w:r w:rsidR="00A83B8D">
        <w:rPr>
          <w:bCs/>
        </w:rPr>
        <w:t xml:space="preserve"> </w:t>
      </w:r>
      <w:r w:rsidR="00A83B8D">
        <w:rPr>
          <w:bCs/>
        </w:rPr>
        <w:sym w:font="Symbol" w:char="F0A3"/>
      </w:r>
      <w:r w:rsidR="00A83B8D">
        <w:rPr>
          <w:bCs/>
        </w:rPr>
        <w:t xml:space="preserve"> 275MPa).</w:t>
      </w:r>
    </w:p>
    <w:p w:rsidR="00A1459A" w:rsidRDefault="00A1459A" w:rsidP="00A1459A">
      <w:pPr>
        <w:shd w:val="clear" w:color="auto" w:fill="FFFFFF"/>
        <w:ind w:firstLine="567"/>
        <w:jc w:val="both"/>
        <w:textAlignment w:val="top"/>
        <w:rPr>
          <w:bCs/>
        </w:rPr>
      </w:pPr>
      <w:r w:rsidRPr="00302ECB">
        <w:rPr>
          <w:bCs/>
        </w:rPr>
        <w:t xml:space="preserve">Em termos de tenacidade, a norma ASTM A333 descreve os valores mínimos de energia a serem obtidos em ensaios de impacto Charpy. Estes valores estão reproduzidos na Tabela 3 para vários graus da norma, inclusive para o grau 6. As temperaturas nas quais os testes devem ser realizados estão apresentadas na Tabela 4, sendo que a temperatura exigida para os tubos </w:t>
      </w:r>
      <w:r>
        <w:rPr>
          <w:bCs/>
        </w:rPr>
        <w:t>em conformidade com ASTM A333</w:t>
      </w:r>
      <w:r w:rsidRPr="00302ECB">
        <w:rPr>
          <w:bCs/>
        </w:rPr>
        <w:t xml:space="preserve"> Gr. 6 é de -45°C (ou -50°F).</w:t>
      </w:r>
    </w:p>
    <w:p w:rsidR="00A1459A" w:rsidRDefault="00A1459A" w:rsidP="00A1459A">
      <w:pPr>
        <w:shd w:val="clear" w:color="auto" w:fill="FFFFFF"/>
        <w:ind w:firstLine="567"/>
        <w:jc w:val="both"/>
        <w:textAlignment w:val="top"/>
        <w:rPr>
          <w:bCs/>
        </w:rPr>
      </w:pPr>
      <w:r w:rsidRPr="00302ECB">
        <w:rPr>
          <w:bCs/>
        </w:rPr>
        <w:t>A temperatura exigida para os testes do grau 6 é a menos severa dentre todos os graus especificados pela norma ASTM A333. Pode-se notar, pelos dados da Tabela 4, que os graus que obrigatoriamente necessitam de elementos de liga, conforme exigido pela norma (vide Tabela 1), devem apresentar os valores de tenacidade exigidos na Tabela 3 (18J) em temperaturas muito mais baixas (de -60 a até -195°C).</w:t>
      </w:r>
    </w:p>
    <w:p w:rsidR="00A1459A" w:rsidRPr="00302ECB" w:rsidRDefault="00A1459A" w:rsidP="00A1459A">
      <w:pPr>
        <w:shd w:val="clear" w:color="auto" w:fill="FFFFFF"/>
        <w:ind w:firstLine="567"/>
        <w:jc w:val="both"/>
        <w:textAlignment w:val="top"/>
        <w:rPr>
          <w:bCs/>
        </w:rPr>
      </w:pPr>
      <w:r w:rsidRPr="00302ECB">
        <w:rPr>
          <w:bCs/>
        </w:rPr>
        <w:t>O valor solicitado de ener</w:t>
      </w:r>
      <w:r>
        <w:rPr>
          <w:bCs/>
        </w:rPr>
        <w:t>gia Charpy de média mínimo (E</w:t>
      </w:r>
      <w:r w:rsidRPr="00302ECB">
        <w:rPr>
          <w:bCs/>
          <w:vertAlign w:val="subscript"/>
        </w:rPr>
        <w:t>C</w:t>
      </w:r>
      <w:r>
        <w:rPr>
          <w:bCs/>
        </w:rPr>
        <w:t xml:space="preserve"> </w:t>
      </w:r>
      <w:r>
        <w:rPr>
          <w:bCs/>
        </w:rPr>
        <w:sym w:font="Symbol" w:char="F0B3"/>
      </w:r>
      <w:r w:rsidRPr="00302ECB">
        <w:rPr>
          <w:bCs/>
        </w:rPr>
        <w:t xml:space="preserve"> 18J) ou de mínimo individual (E</w:t>
      </w:r>
      <w:r w:rsidRPr="00302ECB">
        <w:rPr>
          <w:bCs/>
          <w:vertAlign w:val="subscript"/>
        </w:rPr>
        <w:t>C</w:t>
      </w:r>
      <w:r w:rsidRPr="00302ECB">
        <w:rPr>
          <w:bCs/>
        </w:rPr>
        <w:t xml:space="preserve"> </w:t>
      </w:r>
      <w:r>
        <w:rPr>
          <w:bCs/>
        </w:rPr>
        <w:sym w:font="Symbol" w:char="F0B3"/>
      </w:r>
      <w:r w:rsidRPr="00302ECB">
        <w:rPr>
          <w:bCs/>
        </w:rPr>
        <w:t xml:space="preserve">14J) são relativamente baixos em relação aos valores de 27 a 40J </w:t>
      </w:r>
      <w:r w:rsidRPr="00302ECB">
        <w:rPr>
          <w:bCs/>
        </w:rPr>
        <w:lastRenderedPageBreak/>
        <w:t xml:space="preserve">geralmente definido na bibliografia como sendo o mínimo aceitável para estas aplicações </w:t>
      </w:r>
      <w:r>
        <w:rPr>
          <w:bCs/>
        </w:rPr>
        <w:t>(API, 2007 e ASTM, 2014)</w:t>
      </w:r>
      <w:r w:rsidRPr="00302ECB">
        <w:rPr>
          <w:bCs/>
        </w:rPr>
        <w:t>.</w:t>
      </w:r>
    </w:p>
    <w:p w:rsidR="00302ECB" w:rsidRDefault="00302ECB" w:rsidP="00394EB1">
      <w:pPr>
        <w:shd w:val="clear" w:color="auto" w:fill="FFFFFF"/>
        <w:ind w:firstLine="708"/>
        <w:jc w:val="both"/>
        <w:textAlignment w:val="top"/>
        <w:rPr>
          <w:bCs/>
        </w:rPr>
      </w:pPr>
    </w:p>
    <w:p w:rsidR="00A83B8D" w:rsidRDefault="00302ECB" w:rsidP="00302ECB">
      <w:pPr>
        <w:shd w:val="clear" w:color="auto" w:fill="FFFFFF"/>
        <w:jc w:val="center"/>
        <w:textAlignment w:val="top"/>
        <w:rPr>
          <w:bCs/>
        </w:rPr>
      </w:pPr>
      <w:r>
        <w:rPr>
          <w:noProof/>
        </w:rPr>
        <w:drawing>
          <wp:inline distT="0" distB="0" distL="0" distR="0" wp14:anchorId="19C5195D" wp14:editId="396ACD04">
            <wp:extent cx="4890338" cy="2970000"/>
            <wp:effectExtent l="0" t="0" r="5715" b="190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bela 2.jpg"/>
                    <pic:cNvPicPr/>
                  </pic:nvPicPr>
                  <pic:blipFill>
                    <a:blip r:embed="rId9">
                      <a:extLst>
                        <a:ext uri="{28A0092B-C50C-407E-A947-70E740481C1C}">
                          <a14:useLocalDpi xmlns:a14="http://schemas.microsoft.com/office/drawing/2010/main" val="0"/>
                        </a:ext>
                      </a:extLst>
                    </a:blip>
                    <a:stretch>
                      <a:fillRect/>
                    </a:stretch>
                  </pic:blipFill>
                  <pic:spPr>
                    <a:xfrm>
                      <a:off x="0" y="0"/>
                      <a:ext cx="4890338" cy="2970000"/>
                    </a:xfrm>
                    <a:prstGeom prst="rect">
                      <a:avLst/>
                    </a:prstGeom>
                  </pic:spPr>
                </pic:pic>
              </a:graphicData>
            </a:graphic>
          </wp:inline>
        </w:drawing>
      </w:r>
    </w:p>
    <w:p w:rsidR="00302ECB" w:rsidRPr="009E282D" w:rsidRDefault="00302ECB" w:rsidP="00302ECB">
      <w:pPr>
        <w:jc w:val="center"/>
        <w:rPr>
          <w:rFonts w:cs="Times New Roman"/>
          <w:color w:val="000000"/>
          <w:sz w:val="20"/>
          <w:szCs w:val="20"/>
        </w:rPr>
      </w:pPr>
    </w:p>
    <w:p w:rsidR="00302ECB" w:rsidRPr="009E282D" w:rsidRDefault="00302ECB" w:rsidP="00302ECB">
      <w:pPr>
        <w:jc w:val="center"/>
        <w:rPr>
          <w:rFonts w:cs="Times New Roman"/>
          <w:color w:val="000000"/>
          <w:sz w:val="20"/>
          <w:szCs w:val="20"/>
        </w:rPr>
      </w:pPr>
      <w:r w:rsidRPr="009E282D">
        <w:rPr>
          <w:rFonts w:cs="Times New Roman"/>
          <w:color w:val="000000"/>
          <w:sz w:val="20"/>
          <w:szCs w:val="20"/>
        </w:rPr>
        <w:t xml:space="preserve">Tabela 2. Propriedades mecânicas obtidas em ensaios de tração que devem ser atendidas por alguns graus da norma ASTM A333 </w:t>
      </w:r>
      <w:r w:rsidR="002561EE">
        <w:rPr>
          <w:rFonts w:cs="Times New Roman"/>
          <w:color w:val="000000"/>
          <w:sz w:val="20"/>
          <w:szCs w:val="20"/>
        </w:rPr>
        <w:t>(ASTM, 2013)</w:t>
      </w:r>
      <w:r w:rsidRPr="009E282D">
        <w:rPr>
          <w:rFonts w:cs="Times New Roman"/>
          <w:color w:val="000000"/>
          <w:sz w:val="20"/>
          <w:szCs w:val="20"/>
        </w:rPr>
        <w:t>.</w:t>
      </w:r>
    </w:p>
    <w:p w:rsidR="00A83B8D" w:rsidRDefault="00A83B8D" w:rsidP="00394EB1">
      <w:pPr>
        <w:shd w:val="clear" w:color="auto" w:fill="FFFFFF"/>
        <w:ind w:firstLine="708"/>
        <w:jc w:val="both"/>
        <w:textAlignment w:val="top"/>
        <w:rPr>
          <w:bCs/>
        </w:rPr>
      </w:pPr>
    </w:p>
    <w:p w:rsidR="000F148A" w:rsidRDefault="000F148A" w:rsidP="00302ECB">
      <w:pPr>
        <w:shd w:val="clear" w:color="auto" w:fill="FFFFFF"/>
        <w:ind w:firstLine="708"/>
        <w:jc w:val="both"/>
        <w:textAlignment w:val="top"/>
        <w:rPr>
          <w:bCs/>
        </w:rPr>
      </w:pPr>
    </w:p>
    <w:p w:rsidR="000F148A" w:rsidRDefault="000F148A" w:rsidP="000F148A">
      <w:pPr>
        <w:shd w:val="clear" w:color="auto" w:fill="FFFFFF"/>
        <w:jc w:val="center"/>
        <w:textAlignment w:val="top"/>
        <w:rPr>
          <w:bCs/>
        </w:rPr>
      </w:pPr>
      <w:r>
        <w:rPr>
          <w:noProof/>
        </w:rPr>
        <w:drawing>
          <wp:inline distT="0" distB="0" distL="0" distR="0" wp14:anchorId="42D6CB9D" wp14:editId="454E2F89">
            <wp:extent cx="3286874" cy="1350000"/>
            <wp:effectExtent l="0" t="0" r="0" b="3175"/>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abela 3.jpg"/>
                    <pic:cNvPicPr/>
                  </pic:nvPicPr>
                  <pic:blipFill>
                    <a:blip r:embed="rId10">
                      <a:extLst>
                        <a:ext uri="{28A0092B-C50C-407E-A947-70E740481C1C}">
                          <a14:useLocalDpi xmlns:a14="http://schemas.microsoft.com/office/drawing/2010/main" val="0"/>
                        </a:ext>
                      </a:extLst>
                    </a:blip>
                    <a:stretch>
                      <a:fillRect/>
                    </a:stretch>
                  </pic:blipFill>
                  <pic:spPr>
                    <a:xfrm>
                      <a:off x="0" y="0"/>
                      <a:ext cx="3286874" cy="1350000"/>
                    </a:xfrm>
                    <a:prstGeom prst="rect">
                      <a:avLst/>
                    </a:prstGeom>
                  </pic:spPr>
                </pic:pic>
              </a:graphicData>
            </a:graphic>
          </wp:inline>
        </w:drawing>
      </w:r>
    </w:p>
    <w:p w:rsidR="000F148A" w:rsidRPr="009E282D" w:rsidRDefault="000F148A" w:rsidP="000F148A">
      <w:pPr>
        <w:jc w:val="center"/>
        <w:rPr>
          <w:rFonts w:cs="Times New Roman"/>
          <w:color w:val="000000"/>
          <w:sz w:val="20"/>
          <w:szCs w:val="20"/>
        </w:rPr>
      </w:pPr>
    </w:p>
    <w:p w:rsidR="000F148A" w:rsidRPr="009E282D" w:rsidRDefault="000F148A" w:rsidP="000F148A">
      <w:pPr>
        <w:jc w:val="center"/>
        <w:rPr>
          <w:rFonts w:cs="Times New Roman"/>
          <w:color w:val="000000"/>
          <w:sz w:val="20"/>
          <w:szCs w:val="20"/>
        </w:rPr>
      </w:pPr>
      <w:r w:rsidRPr="009E282D">
        <w:rPr>
          <w:rFonts w:cs="Times New Roman"/>
          <w:color w:val="000000"/>
          <w:sz w:val="20"/>
          <w:szCs w:val="20"/>
        </w:rPr>
        <w:t xml:space="preserve">Tabela 3. Requisitos de energia Charpy exigidos pela norma ASTM A333 </w:t>
      </w:r>
      <w:r w:rsidR="002561EE">
        <w:rPr>
          <w:rFonts w:cs="Times New Roman"/>
          <w:color w:val="000000"/>
          <w:sz w:val="20"/>
          <w:szCs w:val="20"/>
        </w:rPr>
        <w:t>(ASTM, 2013)</w:t>
      </w:r>
      <w:r w:rsidRPr="009E282D">
        <w:rPr>
          <w:rFonts w:cs="Times New Roman"/>
          <w:color w:val="000000"/>
          <w:sz w:val="20"/>
          <w:szCs w:val="20"/>
        </w:rPr>
        <w:t>.</w:t>
      </w:r>
    </w:p>
    <w:p w:rsidR="000F148A" w:rsidRDefault="000F148A" w:rsidP="00302ECB">
      <w:pPr>
        <w:shd w:val="clear" w:color="auto" w:fill="FFFFFF"/>
        <w:ind w:firstLine="708"/>
        <w:jc w:val="both"/>
        <w:textAlignment w:val="top"/>
        <w:rPr>
          <w:bCs/>
        </w:rPr>
      </w:pPr>
    </w:p>
    <w:p w:rsidR="000F148A" w:rsidRDefault="000F148A" w:rsidP="00302ECB">
      <w:pPr>
        <w:shd w:val="clear" w:color="auto" w:fill="FFFFFF"/>
        <w:ind w:firstLine="708"/>
        <w:jc w:val="both"/>
        <w:textAlignment w:val="top"/>
        <w:rPr>
          <w:bCs/>
        </w:rPr>
      </w:pPr>
    </w:p>
    <w:p w:rsidR="000F148A" w:rsidRDefault="000F148A" w:rsidP="000F148A">
      <w:pPr>
        <w:shd w:val="clear" w:color="auto" w:fill="FFFFFF"/>
        <w:jc w:val="center"/>
        <w:textAlignment w:val="top"/>
        <w:rPr>
          <w:bCs/>
        </w:rPr>
      </w:pPr>
      <w:r>
        <w:rPr>
          <w:noProof/>
        </w:rPr>
        <w:drawing>
          <wp:inline distT="0" distB="0" distL="0" distR="0" wp14:anchorId="75AB0579" wp14:editId="3CFDF795">
            <wp:extent cx="3423317" cy="1350000"/>
            <wp:effectExtent l="0" t="0" r="5715" b="317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ela 4.jpg"/>
                    <pic:cNvPicPr/>
                  </pic:nvPicPr>
                  <pic:blipFill rotWithShape="1">
                    <a:blip r:embed="rId11">
                      <a:extLst>
                        <a:ext uri="{28A0092B-C50C-407E-A947-70E740481C1C}">
                          <a14:useLocalDpi xmlns:a14="http://schemas.microsoft.com/office/drawing/2010/main" val="0"/>
                        </a:ext>
                      </a:extLst>
                    </a:blip>
                    <a:srcRect b="60359"/>
                    <a:stretch/>
                  </pic:blipFill>
                  <pic:spPr bwMode="auto">
                    <a:xfrm>
                      <a:off x="0" y="0"/>
                      <a:ext cx="3423317" cy="1350000"/>
                    </a:xfrm>
                    <a:prstGeom prst="rect">
                      <a:avLst/>
                    </a:prstGeom>
                    <a:ln>
                      <a:noFill/>
                    </a:ln>
                    <a:extLst>
                      <a:ext uri="{53640926-AAD7-44D8-BBD7-CCE9431645EC}">
                        <a14:shadowObscured xmlns:a14="http://schemas.microsoft.com/office/drawing/2010/main"/>
                      </a:ext>
                    </a:extLst>
                  </pic:spPr>
                </pic:pic>
              </a:graphicData>
            </a:graphic>
          </wp:inline>
        </w:drawing>
      </w:r>
    </w:p>
    <w:p w:rsidR="000F148A" w:rsidRPr="009E282D" w:rsidRDefault="000F148A" w:rsidP="000F148A">
      <w:pPr>
        <w:jc w:val="center"/>
        <w:rPr>
          <w:rFonts w:cs="Times New Roman"/>
          <w:color w:val="000000"/>
          <w:sz w:val="20"/>
          <w:szCs w:val="20"/>
        </w:rPr>
      </w:pPr>
    </w:p>
    <w:p w:rsidR="000F148A" w:rsidRPr="009E282D" w:rsidRDefault="000F148A" w:rsidP="000F148A">
      <w:pPr>
        <w:jc w:val="center"/>
        <w:rPr>
          <w:rFonts w:cs="Times New Roman"/>
          <w:color w:val="000000"/>
          <w:sz w:val="20"/>
          <w:szCs w:val="20"/>
        </w:rPr>
      </w:pPr>
      <w:r w:rsidRPr="009E282D">
        <w:rPr>
          <w:rFonts w:cs="Times New Roman"/>
          <w:color w:val="000000"/>
          <w:sz w:val="20"/>
          <w:szCs w:val="20"/>
        </w:rPr>
        <w:t xml:space="preserve">Tabela 4. Temperaturas para a realização dos ensaios de </w:t>
      </w:r>
    </w:p>
    <w:p w:rsidR="000F148A" w:rsidRPr="009E282D" w:rsidRDefault="000F148A" w:rsidP="000F148A">
      <w:pPr>
        <w:jc w:val="center"/>
        <w:rPr>
          <w:rFonts w:cs="Times New Roman"/>
          <w:color w:val="000000"/>
          <w:sz w:val="20"/>
          <w:szCs w:val="20"/>
        </w:rPr>
      </w:pPr>
      <w:r w:rsidRPr="009E282D">
        <w:rPr>
          <w:rFonts w:cs="Times New Roman"/>
          <w:color w:val="000000"/>
          <w:sz w:val="20"/>
          <w:szCs w:val="20"/>
        </w:rPr>
        <w:t xml:space="preserve">Charpy exigidos pela norma ASTM A333 </w:t>
      </w:r>
      <w:r w:rsidR="002561EE">
        <w:rPr>
          <w:rFonts w:cs="Times New Roman"/>
          <w:color w:val="000000"/>
          <w:sz w:val="20"/>
          <w:szCs w:val="20"/>
        </w:rPr>
        <w:t>(ASTM, 2013)</w:t>
      </w:r>
      <w:r w:rsidRPr="009E282D">
        <w:rPr>
          <w:rFonts w:cs="Times New Roman"/>
          <w:color w:val="000000"/>
          <w:sz w:val="20"/>
          <w:szCs w:val="20"/>
        </w:rPr>
        <w:t>.</w:t>
      </w:r>
    </w:p>
    <w:p w:rsidR="000F148A" w:rsidRDefault="000F148A" w:rsidP="000F148A">
      <w:pPr>
        <w:shd w:val="clear" w:color="auto" w:fill="FFFFFF"/>
        <w:ind w:firstLine="708"/>
        <w:jc w:val="both"/>
        <w:textAlignment w:val="top"/>
        <w:rPr>
          <w:bCs/>
        </w:rPr>
      </w:pPr>
    </w:p>
    <w:p w:rsidR="00302ECB" w:rsidRDefault="00302ECB" w:rsidP="00394EB1">
      <w:pPr>
        <w:shd w:val="clear" w:color="auto" w:fill="FFFFFF"/>
        <w:ind w:firstLine="708"/>
        <w:jc w:val="both"/>
        <w:textAlignment w:val="top"/>
        <w:rPr>
          <w:bCs/>
        </w:rPr>
      </w:pPr>
    </w:p>
    <w:p w:rsidR="00302ECB" w:rsidRPr="005F013A" w:rsidRDefault="00302ECB" w:rsidP="00302ECB">
      <w:pPr>
        <w:jc w:val="both"/>
        <w:rPr>
          <w:b/>
        </w:rPr>
      </w:pPr>
      <w:r>
        <w:rPr>
          <w:b/>
          <w:smallCaps/>
        </w:rPr>
        <w:t>2</w:t>
      </w:r>
      <w:r w:rsidRPr="005F013A">
        <w:rPr>
          <w:b/>
          <w:smallCaps/>
        </w:rPr>
        <w:t>.</w:t>
      </w:r>
      <w:r>
        <w:rPr>
          <w:b/>
          <w:smallCaps/>
        </w:rPr>
        <w:t>1.3</w:t>
      </w:r>
      <w:r w:rsidRPr="005F013A">
        <w:rPr>
          <w:b/>
          <w:smallCaps/>
        </w:rPr>
        <w:t xml:space="preserve"> </w:t>
      </w:r>
      <w:r w:rsidRPr="00302ECB">
        <w:rPr>
          <w:b/>
        </w:rPr>
        <w:t>Aplicação do material informado pelo cliente</w:t>
      </w:r>
    </w:p>
    <w:p w:rsidR="00302ECB" w:rsidRDefault="00302ECB" w:rsidP="00302ECB">
      <w:pPr>
        <w:shd w:val="clear" w:color="auto" w:fill="FFFFFF"/>
        <w:ind w:firstLine="708"/>
        <w:jc w:val="both"/>
        <w:textAlignment w:val="top"/>
        <w:rPr>
          <w:bCs/>
        </w:rPr>
      </w:pPr>
    </w:p>
    <w:p w:rsidR="00A83B8D" w:rsidRDefault="00302ECB" w:rsidP="00E94513">
      <w:pPr>
        <w:shd w:val="clear" w:color="auto" w:fill="FFFFFF"/>
        <w:ind w:firstLine="567"/>
        <w:jc w:val="both"/>
        <w:textAlignment w:val="top"/>
        <w:rPr>
          <w:bCs/>
        </w:rPr>
      </w:pPr>
      <w:r w:rsidRPr="00302ECB">
        <w:rPr>
          <w:bCs/>
        </w:rPr>
        <w:t>Os tubos analisados por este trabalho são empregados no transporte de fluídos em plataforma de Petróleo a temperaturas médias de 20°C, podendo atingir picos mínimos de 0°C, conforme informações repassadas do projeto. Assim sendo, as temperaturas de aplicação dos tubos são normais e não exigiriam condições especiais para o emprego de elementos de liga adicionais aos elementos tradicionais empregados nos aços, especialmente quando se considera o baixo nível de resistência exigido para este material</w:t>
      </w:r>
      <w:r w:rsidR="002561EE">
        <w:rPr>
          <w:bCs/>
        </w:rPr>
        <w:t xml:space="preserve"> (ASTM, 2013 e API, 2007).</w:t>
      </w:r>
    </w:p>
    <w:p w:rsidR="00302ECB" w:rsidRDefault="00302ECB" w:rsidP="00E94513">
      <w:pPr>
        <w:shd w:val="clear" w:color="auto" w:fill="FFFFFF"/>
        <w:ind w:firstLine="567"/>
        <w:jc w:val="both"/>
        <w:textAlignment w:val="top"/>
        <w:rPr>
          <w:bCs/>
        </w:rPr>
      </w:pPr>
      <w:r w:rsidRPr="00302ECB">
        <w:rPr>
          <w:bCs/>
        </w:rPr>
        <w:t xml:space="preserve">Desta forma, pequenas quantidades de Carbono (da ordem de 0,15%), Manganês (da ordem de 0,70%), Silício (da ordem de 0,30%) e Alumínio, este último presente em pequena quantidade devido ao seu uso como desoxidante conforme a norma ASTM A333, seriam adequados para atender aos requisitos de resistência mecânica em tração </w:t>
      </w:r>
      <w:r w:rsidR="002561EE">
        <w:rPr>
          <w:bCs/>
        </w:rPr>
        <w:t>(COMITRE ET AL., 2012)</w:t>
      </w:r>
      <w:r w:rsidRPr="00302ECB">
        <w:rPr>
          <w:bCs/>
        </w:rPr>
        <w:t xml:space="preserve"> e impacto Charpy </w:t>
      </w:r>
      <w:r w:rsidR="002561EE">
        <w:rPr>
          <w:bCs/>
        </w:rPr>
        <w:t>(ASM, 1990)</w:t>
      </w:r>
      <w:r w:rsidRPr="00302ECB">
        <w:rPr>
          <w:bCs/>
        </w:rPr>
        <w:t>. Esta condição mais do justifica o uso do grau 6 da norma ASTM A333, já que o mesmo atende perfeitamente a esta aplicação, sem a necessidade de elementos de liga.</w:t>
      </w:r>
    </w:p>
    <w:p w:rsidR="000877CC" w:rsidRDefault="000877CC" w:rsidP="00302ECB">
      <w:pPr>
        <w:shd w:val="clear" w:color="auto" w:fill="FFFFFF"/>
        <w:jc w:val="both"/>
        <w:textAlignment w:val="top"/>
        <w:rPr>
          <w:bCs/>
        </w:rPr>
      </w:pPr>
    </w:p>
    <w:p w:rsidR="00302ECB" w:rsidRPr="005F013A" w:rsidRDefault="00302ECB" w:rsidP="00302ECB">
      <w:pPr>
        <w:jc w:val="both"/>
        <w:rPr>
          <w:b/>
        </w:rPr>
      </w:pPr>
      <w:r>
        <w:rPr>
          <w:b/>
          <w:smallCaps/>
        </w:rPr>
        <w:t>2</w:t>
      </w:r>
      <w:r w:rsidRPr="005F013A">
        <w:rPr>
          <w:b/>
          <w:smallCaps/>
        </w:rPr>
        <w:t>.</w:t>
      </w:r>
      <w:r>
        <w:rPr>
          <w:b/>
          <w:smallCaps/>
        </w:rPr>
        <w:t>2.</w:t>
      </w:r>
      <w:r w:rsidRPr="005F013A">
        <w:rPr>
          <w:b/>
          <w:smallCaps/>
        </w:rPr>
        <w:t xml:space="preserve"> </w:t>
      </w:r>
      <w:r w:rsidRPr="00302ECB">
        <w:rPr>
          <w:b/>
        </w:rPr>
        <w:t>Consumível para Soldagem</w:t>
      </w:r>
    </w:p>
    <w:p w:rsidR="00302ECB" w:rsidRDefault="00302ECB" w:rsidP="00302ECB">
      <w:pPr>
        <w:shd w:val="clear" w:color="auto" w:fill="FFFFFF"/>
        <w:ind w:firstLine="708"/>
        <w:jc w:val="both"/>
        <w:textAlignment w:val="top"/>
        <w:rPr>
          <w:bCs/>
        </w:rPr>
      </w:pPr>
    </w:p>
    <w:p w:rsidR="00302ECB" w:rsidRDefault="00302ECB" w:rsidP="00E94513">
      <w:pPr>
        <w:shd w:val="clear" w:color="auto" w:fill="FFFFFF"/>
        <w:ind w:firstLine="567"/>
        <w:jc w:val="both"/>
        <w:textAlignment w:val="top"/>
        <w:rPr>
          <w:bCs/>
        </w:rPr>
      </w:pPr>
      <w:r w:rsidRPr="00302ECB">
        <w:rPr>
          <w:bCs/>
        </w:rPr>
        <w:t xml:space="preserve">O consumível avaliado como sendo possivelmente o mais adequado para a realização da soldagem dos tubos de aço ASTM A333 grau 6, analisados neste estudo, pelo processo de soldagem TIG (GTWA), é o ER 70S3 </w:t>
      </w:r>
      <w:r w:rsidR="002561EE">
        <w:rPr>
          <w:bCs/>
        </w:rPr>
        <w:t>(ASME, 2010)</w:t>
      </w:r>
      <w:r w:rsidR="000877CC">
        <w:rPr>
          <w:bCs/>
        </w:rPr>
        <w:t>, cujas características estão descritas pelos dados da Tabela 5</w:t>
      </w:r>
      <w:r w:rsidRPr="00302ECB">
        <w:rPr>
          <w:bCs/>
        </w:rPr>
        <w:t xml:space="preserve">. O consumível ER 70S3, fornecido na forma de varetas, possui características químicas mais similares a dos tubos em questão, conforme definida pala norma ASME Sec. II Part. C </w:t>
      </w:r>
      <w:r w:rsidR="002561EE">
        <w:rPr>
          <w:bCs/>
        </w:rPr>
        <w:t>(ASME, 2010)</w:t>
      </w:r>
      <w:r w:rsidRPr="00302ECB">
        <w:rPr>
          <w:bCs/>
        </w:rPr>
        <w:t xml:space="preserve"> e seguida por fabricantes de consumíveis</w:t>
      </w:r>
      <w:r w:rsidR="00A1459A">
        <w:rPr>
          <w:bCs/>
        </w:rPr>
        <w:t xml:space="preserve"> (GERDAU, </w:t>
      </w:r>
      <w:r w:rsidR="002561EE">
        <w:rPr>
          <w:bCs/>
        </w:rPr>
        <w:t>2015)</w:t>
      </w:r>
      <w:r w:rsidRPr="00302ECB">
        <w:rPr>
          <w:bCs/>
        </w:rPr>
        <w:t>. Trata-se de um consumível de solda que gera um metal depositado constituído de um aço de baixo carbono, não ligado, que apresenta resistência mecânica média e uma boa tenacidade (energia Charpy) em temperaturas a até -20°C.</w:t>
      </w:r>
    </w:p>
    <w:p w:rsidR="000877CC" w:rsidRDefault="000877CC" w:rsidP="00302ECB">
      <w:pPr>
        <w:shd w:val="clear" w:color="auto" w:fill="FFFFFF"/>
        <w:ind w:firstLine="708"/>
        <w:jc w:val="both"/>
        <w:textAlignment w:val="top"/>
        <w:rPr>
          <w:bCs/>
        </w:rPr>
      </w:pPr>
    </w:p>
    <w:p w:rsidR="000877CC" w:rsidRDefault="000877CC" w:rsidP="000877CC">
      <w:pPr>
        <w:shd w:val="clear" w:color="auto" w:fill="FFFFFF"/>
        <w:jc w:val="center"/>
        <w:textAlignment w:val="top"/>
        <w:rPr>
          <w:bCs/>
        </w:rPr>
      </w:pPr>
      <w:r>
        <w:rPr>
          <w:b/>
          <w:bCs/>
          <w:noProof/>
          <w:sz w:val="20"/>
          <w:szCs w:val="20"/>
        </w:rPr>
        <w:drawing>
          <wp:inline distT="0" distB="0" distL="0" distR="0" wp14:anchorId="41C788D5" wp14:editId="1ED923DB">
            <wp:extent cx="6048000" cy="1440000"/>
            <wp:effectExtent l="0" t="0" r="0" b="8255"/>
            <wp:docPr id="25" name="Imagem 25" descr="C:\Users\WillyAnk\Documents\ARTIGOS\2016\ABM Week\29999 - Uso de aço carbono ou liga de níquel\04-02-2015 - Uso do ER 70S3 no lugar do ER 80S Ni2\Tabel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llyAnk\Documents\ARTIGOS\2016\ABM Week\29999 - Uso de aço carbono ou liga de níquel\04-02-2015 - Uso do ER 70S3 no lugar do ER 80S Ni2\Tabela 5.jpg"/>
                    <pic:cNvPicPr>
                      <a:picLocks noChangeAspect="1" noChangeArrowheads="1"/>
                    </pic:cNvPicPr>
                  </pic:nvPicPr>
                  <pic:blipFill rotWithShape="1">
                    <a:blip r:embed="rId12">
                      <a:extLst>
                        <a:ext uri="{28A0092B-C50C-407E-A947-70E740481C1C}">
                          <a14:useLocalDpi xmlns:a14="http://schemas.microsoft.com/office/drawing/2010/main" val="0"/>
                        </a:ext>
                      </a:extLst>
                    </a:blip>
                    <a:srcRect t="51613"/>
                    <a:stretch/>
                  </pic:blipFill>
                  <pic:spPr bwMode="auto">
                    <a:xfrm>
                      <a:off x="0" y="0"/>
                      <a:ext cx="6048000" cy="1440000"/>
                    </a:xfrm>
                    <a:prstGeom prst="rect">
                      <a:avLst/>
                    </a:prstGeom>
                    <a:noFill/>
                    <a:ln>
                      <a:noFill/>
                    </a:ln>
                    <a:extLst>
                      <a:ext uri="{53640926-AAD7-44D8-BBD7-CCE9431645EC}">
                        <a14:shadowObscured xmlns:a14="http://schemas.microsoft.com/office/drawing/2010/main"/>
                      </a:ext>
                    </a:extLst>
                  </pic:spPr>
                </pic:pic>
              </a:graphicData>
            </a:graphic>
          </wp:inline>
        </w:drawing>
      </w:r>
    </w:p>
    <w:p w:rsidR="000877CC" w:rsidRPr="009E282D" w:rsidRDefault="000877CC" w:rsidP="000877CC">
      <w:pPr>
        <w:jc w:val="center"/>
        <w:rPr>
          <w:rFonts w:cs="Times New Roman"/>
          <w:color w:val="000000"/>
          <w:sz w:val="20"/>
          <w:szCs w:val="20"/>
        </w:rPr>
      </w:pPr>
    </w:p>
    <w:p w:rsidR="000877CC" w:rsidRPr="009E282D" w:rsidRDefault="000877CC" w:rsidP="000877CC">
      <w:pPr>
        <w:jc w:val="center"/>
        <w:rPr>
          <w:rFonts w:cs="Times New Roman"/>
          <w:color w:val="000000"/>
          <w:sz w:val="20"/>
          <w:szCs w:val="20"/>
        </w:rPr>
      </w:pPr>
      <w:r w:rsidRPr="009E282D">
        <w:rPr>
          <w:rFonts w:cs="Times New Roman"/>
          <w:color w:val="000000"/>
          <w:sz w:val="20"/>
          <w:szCs w:val="20"/>
        </w:rPr>
        <w:t xml:space="preserve">Tabela </w:t>
      </w:r>
      <w:r>
        <w:rPr>
          <w:rFonts w:cs="Times New Roman"/>
          <w:color w:val="000000"/>
          <w:sz w:val="20"/>
          <w:szCs w:val="20"/>
        </w:rPr>
        <w:t>5</w:t>
      </w:r>
      <w:r w:rsidRPr="009E282D">
        <w:rPr>
          <w:rFonts w:cs="Times New Roman"/>
          <w:color w:val="000000"/>
          <w:sz w:val="20"/>
          <w:szCs w:val="20"/>
        </w:rPr>
        <w:t xml:space="preserve">. Características químicas e mecânicas do consumível ER 70S3 conforme fornecido </w:t>
      </w:r>
      <w:r w:rsidR="002561EE">
        <w:rPr>
          <w:rFonts w:cs="Times New Roman"/>
          <w:color w:val="000000"/>
          <w:sz w:val="20"/>
          <w:szCs w:val="20"/>
        </w:rPr>
        <w:t>(GERDAU, 2015)</w:t>
      </w:r>
      <w:r w:rsidRPr="009E282D">
        <w:rPr>
          <w:rFonts w:cs="Times New Roman"/>
          <w:color w:val="000000"/>
          <w:sz w:val="20"/>
          <w:szCs w:val="20"/>
        </w:rPr>
        <w:t>.</w:t>
      </w:r>
    </w:p>
    <w:p w:rsidR="000877CC" w:rsidRPr="00302ECB" w:rsidRDefault="000877CC" w:rsidP="00302ECB">
      <w:pPr>
        <w:shd w:val="clear" w:color="auto" w:fill="FFFFFF"/>
        <w:ind w:firstLine="708"/>
        <w:jc w:val="both"/>
        <w:textAlignment w:val="top"/>
        <w:rPr>
          <w:bCs/>
        </w:rPr>
      </w:pPr>
    </w:p>
    <w:p w:rsidR="00A83B8D" w:rsidRDefault="00302ECB" w:rsidP="00E94513">
      <w:pPr>
        <w:shd w:val="clear" w:color="auto" w:fill="FFFFFF"/>
        <w:ind w:firstLine="567"/>
        <w:jc w:val="both"/>
        <w:textAlignment w:val="top"/>
        <w:rPr>
          <w:bCs/>
        </w:rPr>
      </w:pPr>
      <w:r w:rsidRPr="00302ECB">
        <w:rPr>
          <w:bCs/>
        </w:rPr>
        <w:t xml:space="preserve">Os valores da composição química regulamentada por norma estão apresentados na Tabela </w:t>
      </w:r>
      <w:r w:rsidR="000877CC">
        <w:rPr>
          <w:bCs/>
        </w:rPr>
        <w:t>6</w:t>
      </w:r>
      <w:r w:rsidRPr="00302ECB">
        <w:rPr>
          <w:bCs/>
        </w:rPr>
        <w:t xml:space="preserve"> para o consumível ER 70S3 e na Tabela </w:t>
      </w:r>
      <w:r w:rsidR="000877CC">
        <w:rPr>
          <w:bCs/>
        </w:rPr>
        <w:t>7</w:t>
      </w:r>
      <w:r w:rsidRPr="00302ECB">
        <w:rPr>
          <w:bCs/>
        </w:rPr>
        <w:t xml:space="preserve"> para o consumível ER 80S Ni2. Já as características mecânicas exigidas pelo código ASME para o consumível ER70S3 estão descritas nas Tabelas </w:t>
      </w:r>
      <w:r w:rsidR="000877CC">
        <w:rPr>
          <w:bCs/>
        </w:rPr>
        <w:t>8</w:t>
      </w:r>
      <w:r w:rsidRPr="00302ECB">
        <w:rPr>
          <w:bCs/>
        </w:rPr>
        <w:t xml:space="preserve"> e </w:t>
      </w:r>
      <w:r w:rsidR="000877CC">
        <w:rPr>
          <w:bCs/>
        </w:rPr>
        <w:t>9</w:t>
      </w:r>
      <w:r w:rsidRPr="00302ECB">
        <w:rPr>
          <w:bCs/>
        </w:rPr>
        <w:t>.</w:t>
      </w:r>
    </w:p>
    <w:p w:rsidR="00A83B8D" w:rsidRDefault="00A83B8D" w:rsidP="00394EB1">
      <w:pPr>
        <w:shd w:val="clear" w:color="auto" w:fill="FFFFFF"/>
        <w:ind w:firstLine="708"/>
        <w:jc w:val="both"/>
        <w:textAlignment w:val="top"/>
        <w:rPr>
          <w:bCs/>
        </w:rPr>
      </w:pPr>
    </w:p>
    <w:p w:rsidR="00302ECB" w:rsidRDefault="00302ECB" w:rsidP="00CF761D">
      <w:pPr>
        <w:shd w:val="clear" w:color="auto" w:fill="FFFFFF"/>
        <w:jc w:val="center"/>
        <w:textAlignment w:val="top"/>
        <w:rPr>
          <w:bCs/>
        </w:rPr>
      </w:pPr>
      <w:r>
        <w:rPr>
          <w:rFonts w:asciiTheme="minorHAnsi" w:eastAsiaTheme="minorHAnsi" w:hAnsiTheme="minorHAnsi" w:cstheme="minorBidi"/>
          <w:noProof/>
          <w:sz w:val="22"/>
          <w:szCs w:val="22"/>
        </w:rPr>
        <w:drawing>
          <wp:inline distT="0" distB="0" distL="0" distR="0" wp14:anchorId="3B89F715" wp14:editId="36D8AB09">
            <wp:extent cx="5107658" cy="1008000"/>
            <wp:effectExtent l="0" t="0" r="0" b="1905"/>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abela 6.jpg"/>
                    <pic:cNvPicPr/>
                  </pic:nvPicPr>
                  <pic:blipFill rotWithShape="1">
                    <a:blip r:embed="rId13">
                      <a:extLst>
                        <a:ext uri="{28A0092B-C50C-407E-A947-70E740481C1C}">
                          <a14:useLocalDpi xmlns:a14="http://schemas.microsoft.com/office/drawing/2010/main" val="0"/>
                        </a:ext>
                      </a:extLst>
                    </a:blip>
                    <a:srcRect b="54553"/>
                    <a:stretch/>
                  </pic:blipFill>
                  <pic:spPr bwMode="auto">
                    <a:xfrm>
                      <a:off x="0" y="0"/>
                      <a:ext cx="5107658" cy="1008000"/>
                    </a:xfrm>
                    <a:prstGeom prst="rect">
                      <a:avLst/>
                    </a:prstGeom>
                    <a:ln>
                      <a:noFill/>
                    </a:ln>
                    <a:extLst>
                      <a:ext uri="{53640926-AAD7-44D8-BBD7-CCE9431645EC}">
                        <a14:shadowObscured xmlns:a14="http://schemas.microsoft.com/office/drawing/2010/main"/>
                      </a:ext>
                    </a:extLst>
                  </pic:spPr>
                </pic:pic>
              </a:graphicData>
            </a:graphic>
          </wp:inline>
        </w:drawing>
      </w:r>
    </w:p>
    <w:p w:rsidR="00302ECB" w:rsidRPr="009E282D" w:rsidRDefault="00302ECB" w:rsidP="00302ECB">
      <w:pPr>
        <w:jc w:val="center"/>
        <w:rPr>
          <w:rFonts w:cs="Times New Roman"/>
          <w:color w:val="000000"/>
          <w:sz w:val="20"/>
          <w:szCs w:val="20"/>
        </w:rPr>
      </w:pPr>
    </w:p>
    <w:p w:rsidR="00302ECB" w:rsidRPr="009E282D" w:rsidRDefault="00302ECB" w:rsidP="00302ECB">
      <w:pPr>
        <w:jc w:val="center"/>
        <w:rPr>
          <w:rFonts w:cs="Times New Roman"/>
          <w:color w:val="000000"/>
          <w:sz w:val="20"/>
          <w:szCs w:val="20"/>
        </w:rPr>
      </w:pPr>
      <w:r w:rsidRPr="009E282D">
        <w:rPr>
          <w:rFonts w:cs="Times New Roman"/>
          <w:color w:val="000000"/>
          <w:sz w:val="20"/>
          <w:szCs w:val="20"/>
        </w:rPr>
        <w:t xml:space="preserve">Tabela </w:t>
      </w:r>
      <w:r w:rsidR="000877CC">
        <w:rPr>
          <w:rFonts w:cs="Times New Roman"/>
          <w:color w:val="000000"/>
          <w:sz w:val="20"/>
          <w:szCs w:val="20"/>
        </w:rPr>
        <w:t>6</w:t>
      </w:r>
      <w:r w:rsidRPr="009E282D">
        <w:rPr>
          <w:rFonts w:cs="Times New Roman"/>
          <w:color w:val="000000"/>
          <w:sz w:val="20"/>
          <w:szCs w:val="20"/>
        </w:rPr>
        <w:t xml:space="preserve">. Composição química do consumível ER 70S3 conforme requisitado pela ASME </w:t>
      </w:r>
      <w:r w:rsidR="002561EE">
        <w:rPr>
          <w:rFonts w:cs="Times New Roman"/>
          <w:color w:val="000000"/>
          <w:sz w:val="20"/>
          <w:szCs w:val="20"/>
        </w:rPr>
        <w:t>(ASME, 2010)</w:t>
      </w:r>
      <w:r w:rsidRPr="009E282D">
        <w:rPr>
          <w:rFonts w:cs="Times New Roman"/>
          <w:color w:val="000000"/>
          <w:sz w:val="20"/>
          <w:szCs w:val="20"/>
        </w:rPr>
        <w:t>.</w:t>
      </w:r>
    </w:p>
    <w:p w:rsidR="00302ECB" w:rsidRDefault="00302ECB" w:rsidP="00394EB1">
      <w:pPr>
        <w:shd w:val="clear" w:color="auto" w:fill="FFFFFF"/>
        <w:ind w:firstLine="708"/>
        <w:jc w:val="both"/>
        <w:textAlignment w:val="top"/>
        <w:rPr>
          <w:bCs/>
        </w:rPr>
      </w:pPr>
    </w:p>
    <w:p w:rsidR="00302ECB" w:rsidRDefault="00E408EE" w:rsidP="00CF761D">
      <w:pPr>
        <w:shd w:val="clear" w:color="auto" w:fill="FFFFFF"/>
        <w:jc w:val="center"/>
        <w:textAlignment w:val="top"/>
        <w:rPr>
          <w:bCs/>
        </w:rPr>
      </w:pPr>
      <w:r>
        <w:rPr>
          <w:noProof/>
        </w:rPr>
        <w:drawing>
          <wp:inline distT="0" distB="0" distL="0" distR="0" wp14:anchorId="041CCB51" wp14:editId="5FB091A1">
            <wp:extent cx="5229713" cy="1890000"/>
            <wp:effectExtent l="0" t="0" r="0" b="0"/>
            <wp:docPr id="17" name="Imagem 17" descr="C:\Users\WillyAnk\Documents\ARTIGOS\2016\ABM Week\29999 - Uso de aço carbono ou liga de níquel\Tabela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llyAnk\Documents\ARTIGOS\2016\ABM Week\29999 - Uso de aço carbono ou liga de níquel\Tabela 6.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29713" cy="1890000"/>
                    </a:xfrm>
                    <a:prstGeom prst="rect">
                      <a:avLst/>
                    </a:prstGeom>
                    <a:noFill/>
                    <a:ln>
                      <a:noFill/>
                    </a:ln>
                  </pic:spPr>
                </pic:pic>
              </a:graphicData>
            </a:graphic>
          </wp:inline>
        </w:drawing>
      </w:r>
    </w:p>
    <w:p w:rsidR="00E408EE" w:rsidRPr="009E282D" w:rsidRDefault="00E408EE" w:rsidP="00E408EE">
      <w:pPr>
        <w:jc w:val="center"/>
        <w:rPr>
          <w:rFonts w:cs="Times New Roman"/>
          <w:color w:val="000000"/>
          <w:sz w:val="20"/>
          <w:szCs w:val="20"/>
        </w:rPr>
      </w:pPr>
    </w:p>
    <w:p w:rsidR="00E408EE" w:rsidRPr="009E282D" w:rsidRDefault="00E408EE" w:rsidP="00E408EE">
      <w:pPr>
        <w:jc w:val="center"/>
        <w:rPr>
          <w:rFonts w:cs="Times New Roman"/>
          <w:color w:val="000000"/>
          <w:sz w:val="20"/>
          <w:szCs w:val="20"/>
        </w:rPr>
      </w:pPr>
      <w:r w:rsidRPr="009E282D">
        <w:rPr>
          <w:rFonts w:cs="Times New Roman"/>
          <w:color w:val="000000"/>
          <w:sz w:val="20"/>
          <w:szCs w:val="20"/>
        </w:rPr>
        <w:t xml:space="preserve">Tabela </w:t>
      </w:r>
      <w:r w:rsidR="000877CC">
        <w:rPr>
          <w:rFonts w:cs="Times New Roman"/>
          <w:color w:val="000000"/>
          <w:sz w:val="20"/>
          <w:szCs w:val="20"/>
        </w:rPr>
        <w:t>7</w:t>
      </w:r>
      <w:r w:rsidRPr="009E282D">
        <w:rPr>
          <w:rFonts w:cs="Times New Roman"/>
          <w:color w:val="000000"/>
          <w:sz w:val="20"/>
          <w:szCs w:val="20"/>
        </w:rPr>
        <w:t xml:space="preserve">. </w:t>
      </w:r>
      <w:r w:rsidR="00416DB0" w:rsidRPr="009E282D">
        <w:rPr>
          <w:rFonts w:cs="Times New Roman"/>
          <w:color w:val="000000"/>
          <w:sz w:val="20"/>
          <w:szCs w:val="20"/>
        </w:rPr>
        <w:t xml:space="preserve">Composição química do consumível ER 80S Ni2 conforme requisitado pela ASME </w:t>
      </w:r>
      <w:r w:rsidR="002561EE">
        <w:rPr>
          <w:rFonts w:cs="Times New Roman"/>
          <w:color w:val="000000"/>
          <w:sz w:val="20"/>
          <w:szCs w:val="20"/>
        </w:rPr>
        <w:t>(ASME, 2010)</w:t>
      </w:r>
      <w:r w:rsidR="00416DB0" w:rsidRPr="009E282D">
        <w:rPr>
          <w:rFonts w:cs="Times New Roman"/>
          <w:color w:val="000000"/>
          <w:sz w:val="20"/>
          <w:szCs w:val="20"/>
        </w:rPr>
        <w:t>.</w:t>
      </w:r>
    </w:p>
    <w:p w:rsidR="00416DB0" w:rsidRDefault="00416DB0" w:rsidP="00416DB0">
      <w:pPr>
        <w:shd w:val="clear" w:color="auto" w:fill="FFFFFF"/>
        <w:jc w:val="both"/>
        <w:textAlignment w:val="top"/>
        <w:rPr>
          <w:bCs/>
        </w:rPr>
      </w:pPr>
    </w:p>
    <w:p w:rsidR="00416DB0" w:rsidRDefault="00416DB0" w:rsidP="00CF761D">
      <w:pPr>
        <w:shd w:val="clear" w:color="auto" w:fill="FFFFFF"/>
        <w:jc w:val="center"/>
        <w:textAlignment w:val="top"/>
        <w:rPr>
          <w:bCs/>
        </w:rPr>
      </w:pPr>
      <w:r>
        <w:rPr>
          <w:noProof/>
        </w:rPr>
        <w:drawing>
          <wp:inline distT="0" distB="0" distL="0" distR="0" wp14:anchorId="3DBA8A13" wp14:editId="384FCEAC">
            <wp:extent cx="5108957" cy="1008000"/>
            <wp:effectExtent l="0" t="0" r="0" b="1905"/>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abela 7.jpg"/>
                    <pic:cNvPicPr/>
                  </pic:nvPicPr>
                  <pic:blipFill rotWithShape="1">
                    <a:blip r:embed="rId15">
                      <a:extLst>
                        <a:ext uri="{28A0092B-C50C-407E-A947-70E740481C1C}">
                          <a14:useLocalDpi xmlns:a14="http://schemas.microsoft.com/office/drawing/2010/main" val="0"/>
                        </a:ext>
                      </a:extLst>
                    </a:blip>
                    <a:srcRect b="41703"/>
                    <a:stretch/>
                  </pic:blipFill>
                  <pic:spPr bwMode="auto">
                    <a:xfrm>
                      <a:off x="0" y="0"/>
                      <a:ext cx="5108957" cy="1008000"/>
                    </a:xfrm>
                    <a:prstGeom prst="rect">
                      <a:avLst/>
                    </a:prstGeom>
                    <a:ln>
                      <a:noFill/>
                    </a:ln>
                    <a:extLst>
                      <a:ext uri="{53640926-AAD7-44D8-BBD7-CCE9431645EC}">
                        <a14:shadowObscured xmlns:a14="http://schemas.microsoft.com/office/drawing/2010/main"/>
                      </a:ext>
                    </a:extLst>
                  </pic:spPr>
                </pic:pic>
              </a:graphicData>
            </a:graphic>
          </wp:inline>
        </w:drawing>
      </w:r>
    </w:p>
    <w:p w:rsidR="00416DB0" w:rsidRPr="009E282D" w:rsidRDefault="00416DB0" w:rsidP="00416DB0">
      <w:pPr>
        <w:jc w:val="center"/>
        <w:rPr>
          <w:rFonts w:cs="Times New Roman"/>
          <w:color w:val="000000"/>
          <w:sz w:val="20"/>
          <w:szCs w:val="20"/>
        </w:rPr>
      </w:pPr>
    </w:p>
    <w:p w:rsidR="00416DB0" w:rsidRPr="009E282D" w:rsidRDefault="00416DB0" w:rsidP="00866E3D">
      <w:pPr>
        <w:jc w:val="center"/>
        <w:rPr>
          <w:rFonts w:cs="Times New Roman"/>
          <w:color w:val="000000"/>
          <w:sz w:val="20"/>
          <w:szCs w:val="20"/>
        </w:rPr>
      </w:pPr>
      <w:r w:rsidRPr="009E282D">
        <w:rPr>
          <w:rFonts w:cs="Times New Roman"/>
          <w:color w:val="000000"/>
          <w:sz w:val="20"/>
          <w:szCs w:val="20"/>
        </w:rPr>
        <w:t>Tabela</w:t>
      </w:r>
      <w:r w:rsidR="000877CC">
        <w:rPr>
          <w:rFonts w:cs="Times New Roman"/>
          <w:color w:val="000000"/>
          <w:sz w:val="20"/>
          <w:szCs w:val="20"/>
        </w:rPr>
        <w:t xml:space="preserve"> 8</w:t>
      </w:r>
      <w:r w:rsidRPr="009E282D">
        <w:rPr>
          <w:rFonts w:cs="Times New Roman"/>
          <w:color w:val="000000"/>
          <w:sz w:val="20"/>
          <w:szCs w:val="20"/>
        </w:rPr>
        <w:t xml:space="preserve">. </w:t>
      </w:r>
      <w:r w:rsidR="009E282D" w:rsidRPr="009E282D">
        <w:rPr>
          <w:rFonts w:cs="Times New Roman"/>
          <w:color w:val="000000"/>
          <w:sz w:val="20"/>
          <w:szCs w:val="20"/>
        </w:rPr>
        <w:t xml:space="preserve">Propriedades mecânicas em tração do metal de solda depositado pelo consumível ER 70S3 requisitado pela ASME </w:t>
      </w:r>
      <w:r w:rsidR="002561EE">
        <w:rPr>
          <w:rFonts w:cs="Times New Roman"/>
          <w:color w:val="000000"/>
          <w:sz w:val="20"/>
          <w:szCs w:val="20"/>
        </w:rPr>
        <w:t>(ASME, 2010)</w:t>
      </w:r>
      <w:r w:rsidR="009E282D">
        <w:rPr>
          <w:rFonts w:cs="Times New Roman"/>
          <w:color w:val="000000"/>
          <w:sz w:val="20"/>
          <w:szCs w:val="20"/>
        </w:rPr>
        <w:t>.</w:t>
      </w:r>
    </w:p>
    <w:p w:rsidR="009E282D" w:rsidRDefault="009E282D" w:rsidP="009E282D">
      <w:pPr>
        <w:shd w:val="clear" w:color="auto" w:fill="FFFFFF"/>
        <w:jc w:val="both"/>
        <w:textAlignment w:val="top"/>
        <w:rPr>
          <w:bCs/>
        </w:rPr>
      </w:pPr>
    </w:p>
    <w:p w:rsidR="009E282D" w:rsidRDefault="009E282D" w:rsidP="009E282D">
      <w:pPr>
        <w:shd w:val="clear" w:color="auto" w:fill="FFFFFF"/>
        <w:jc w:val="center"/>
        <w:textAlignment w:val="top"/>
        <w:rPr>
          <w:bCs/>
        </w:rPr>
      </w:pPr>
      <w:r>
        <w:rPr>
          <w:noProof/>
        </w:rPr>
        <w:drawing>
          <wp:inline distT="0" distB="0" distL="0" distR="0" wp14:anchorId="14EB6671" wp14:editId="25C5CCDA">
            <wp:extent cx="4140000" cy="713667"/>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Tabela 9.jpg"/>
                    <pic:cNvPicPr/>
                  </pic:nvPicPr>
                  <pic:blipFill rotWithShape="1">
                    <a:blip r:embed="rId16">
                      <a:extLst>
                        <a:ext uri="{28A0092B-C50C-407E-A947-70E740481C1C}">
                          <a14:useLocalDpi xmlns:a14="http://schemas.microsoft.com/office/drawing/2010/main" val="0"/>
                        </a:ext>
                      </a:extLst>
                    </a:blip>
                    <a:srcRect b="73978"/>
                    <a:stretch/>
                  </pic:blipFill>
                  <pic:spPr bwMode="auto">
                    <a:xfrm>
                      <a:off x="0" y="0"/>
                      <a:ext cx="4140000" cy="713667"/>
                    </a:xfrm>
                    <a:prstGeom prst="rect">
                      <a:avLst/>
                    </a:prstGeom>
                    <a:ln>
                      <a:noFill/>
                    </a:ln>
                    <a:extLst>
                      <a:ext uri="{53640926-AAD7-44D8-BBD7-CCE9431645EC}">
                        <a14:shadowObscured xmlns:a14="http://schemas.microsoft.com/office/drawing/2010/main"/>
                      </a:ext>
                    </a:extLst>
                  </pic:spPr>
                </pic:pic>
              </a:graphicData>
            </a:graphic>
          </wp:inline>
        </w:drawing>
      </w:r>
    </w:p>
    <w:p w:rsidR="009E282D" w:rsidRDefault="009E282D" w:rsidP="009E282D">
      <w:pPr>
        <w:shd w:val="clear" w:color="auto" w:fill="FFFFFF"/>
        <w:jc w:val="center"/>
        <w:textAlignment w:val="top"/>
        <w:rPr>
          <w:bCs/>
        </w:rPr>
      </w:pPr>
      <w:r>
        <w:rPr>
          <w:noProof/>
        </w:rPr>
        <w:drawing>
          <wp:inline distT="0" distB="0" distL="0" distR="0" wp14:anchorId="36E692E2" wp14:editId="469DBF65">
            <wp:extent cx="4140000" cy="1064761"/>
            <wp:effectExtent l="0" t="0" r="0" b="254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Tabela 9.jpg"/>
                    <pic:cNvPicPr/>
                  </pic:nvPicPr>
                  <pic:blipFill rotWithShape="1">
                    <a:blip r:embed="rId16">
                      <a:extLst>
                        <a:ext uri="{28A0092B-C50C-407E-A947-70E740481C1C}">
                          <a14:useLocalDpi xmlns:a14="http://schemas.microsoft.com/office/drawing/2010/main" val="0"/>
                        </a:ext>
                      </a:extLst>
                    </a:blip>
                    <a:srcRect t="61176"/>
                    <a:stretch/>
                  </pic:blipFill>
                  <pic:spPr bwMode="auto">
                    <a:xfrm>
                      <a:off x="0" y="0"/>
                      <a:ext cx="4140000" cy="1064761"/>
                    </a:xfrm>
                    <a:prstGeom prst="rect">
                      <a:avLst/>
                    </a:prstGeom>
                    <a:ln>
                      <a:noFill/>
                    </a:ln>
                    <a:extLst>
                      <a:ext uri="{53640926-AAD7-44D8-BBD7-CCE9431645EC}">
                        <a14:shadowObscured xmlns:a14="http://schemas.microsoft.com/office/drawing/2010/main"/>
                      </a:ext>
                    </a:extLst>
                  </pic:spPr>
                </pic:pic>
              </a:graphicData>
            </a:graphic>
          </wp:inline>
        </w:drawing>
      </w:r>
    </w:p>
    <w:p w:rsidR="009E282D" w:rsidRPr="009E282D" w:rsidRDefault="009E282D" w:rsidP="009E282D">
      <w:pPr>
        <w:jc w:val="center"/>
        <w:rPr>
          <w:rFonts w:cs="Times New Roman"/>
          <w:color w:val="000000"/>
          <w:sz w:val="20"/>
          <w:szCs w:val="20"/>
        </w:rPr>
      </w:pPr>
    </w:p>
    <w:p w:rsidR="009E282D" w:rsidRPr="009E282D" w:rsidRDefault="009E282D" w:rsidP="00866E3D">
      <w:pPr>
        <w:jc w:val="center"/>
        <w:rPr>
          <w:rFonts w:cs="Times New Roman"/>
          <w:color w:val="000000"/>
          <w:sz w:val="20"/>
          <w:szCs w:val="20"/>
        </w:rPr>
      </w:pPr>
      <w:r w:rsidRPr="009E282D">
        <w:rPr>
          <w:rFonts w:cs="Times New Roman"/>
          <w:color w:val="000000"/>
          <w:sz w:val="20"/>
          <w:szCs w:val="20"/>
        </w:rPr>
        <w:t xml:space="preserve">Tabela </w:t>
      </w:r>
      <w:r w:rsidR="000877CC">
        <w:rPr>
          <w:rFonts w:cs="Times New Roman"/>
          <w:color w:val="000000"/>
          <w:sz w:val="20"/>
          <w:szCs w:val="20"/>
        </w:rPr>
        <w:t>9</w:t>
      </w:r>
      <w:r w:rsidRPr="009E282D">
        <w:rPr>
          <w:rFonts w:cs="Times New Roman"/>
          <w:color w:val="000000"/>
          <w:sz w:val="20"/>
          <w:szCs w:val="20"/>
        </w:rPr>
        <w:t>. Valores de energia obtidas pelo ensaio de impacto Charpy do metal de solda</w:t>
      </w:r>
      <w:r w:rsidR="00866E3D">
        <w:rPr>
          <w:rFonts w:cs="Times New Roman"/>
          <w:color w:val="000000"/>
          <w:sz w:val="20"/>
          <w:szCs w:val="20"/>
        </w:rPr>
        <w:t xml:space="preserve"> </w:t>
      </w:r>
      <w:r w:rsidRPr="009E282D">
        <w:rPr>
          <w:rFonts w:cs="Times New Roman"/>
          <w:color w:val="000000"/>
          <w:sz w:val="20"/>
          <w:szCs w:val="20"/>
        </w:rPr>
        <w:t xml:space="preserve">depositado pelo consumível ER 70S3 requisitado pela ASME </w:t>
      </w:r>
      <w:r w:rsidR="002561EE">
        <w:rPr>
          <w:rFonts w:cs="Times New Roman"/>
          <w:color w:val="000000"/>
          <w:sz w:val="20"/>
          <w:szCs w:val="20"/>
        </w:rPr>
        <w:t>(ASME, 2010)</w:t>
      </w:r>
      <w:r>
        <w:rPr>
          <w:rFonts w:cs="Times New Roman"/>
          <w:color w:val="000000"/>
          <w:sz w:val="20"/>
          <w:szCs w:val="20"/>
        </w:rPr>
        <w:t>.</w:t>
      </w:r>
    </w:p>
    <w:p w:rsidR="009E282D" w:rsidRDefault="009E282D" w:rsidP="00394EB1">
      <w:pPr>
        <w:shd w:val="clear" w:color="auto" w:fill="FFFFFF"/>
        <w:ind w:firstLine="708"/>
        <w:jc w:val="both"/>
        <w:textAlignment w:val="top"/>
        <w:rPr>
          <w:bCs/>
        </w:rPr>
      </w:pPr>
    </w:p>
    <w:p w:rsidR="009E282D" w:rsidRPr="005F013A" w:rsidRDefault="009E282D" w:rsidP="009E282D">
      <w:pPr>
        <w:jc w:val="both"/>
        <w:rPr>
          <w:b/>
        </w:rPr>
      </w:pPr>
      <w:r>
        <w:rPr>
          <w:b/>
          <w:smallCaps/>
        </w:rPr>
        <w:lastRenderedPageBreak/>
        <w:t>2</w:t>
      </w:r>
      <w:r w:rsidRPr="005F013A">
        <w:rPr>
          <w:b/>
          <w:smallCaps/>
        </w:rPr>
        <w:t>.</w:t>
      </w:r>
      <w:r>
        <w:rPr>
          <w:b/>
          <w:smallCaps/>
        </w:rPr>
        <w:t>3.</w:t>
      </w:r>
      <w:r w:rsidRPr="005F013A">
        <w:rPr>
          <w:b/>
          <w:smallCaps/>
        </w:rPr>
        <w:t xml:space="preserve"> </w:t>
      </w:r>
      <w:r w:rsidRPr="009E282D">
        <w:rPr>
          <w:b/>
        </w:rPr>
        <w:t>Análise Experimental</w:t>
      </w:r>
    </w:p>
    <w:p w:rsidR="009E282D" w:rsidRDefault="009E282D" w:rsidP="009E282D">
      <w:pPr>
        <w:shd w:val="clear" w:color="auto" w:fill="FFFFFF"/>
        <w:ind w:firstLine="708"/>
        <w:jc w:val="both"/>
        <w:textAlignment w:val="top"/>
        <w:rPr>
          <w:bCs/>
        </w:rPr>
      </w:pPr>
    </w:p>
    <w:p w:rsidR="009E282D" w:rsidRPr="009E282D" w:rsidRDefault="009E282D" w:rsidP="00E94513">
      <w:pPr>
        <w:shd w:val="clear" w:color="auto" w:fill="FFFFFF"/>
        <w:ind w:firstLine="567"/>
        <w:jc w:val="both"/>
        <w:textAlignment w:val="top"/>
        <w:rPr>
          <w:bCs/>
        </w:rPr>
      </w:pPr>
      <w:r w:rsidRPr="009E282D">
        <w:rPr>
          <w:bCs/>
        </w:rPr>
        <w:t xml:space="preserve">A composição química do consumível ER 70S3, apresentada na Tabela </w:t>
      </w:r>
      <w:r w:rsidR="000877CC">
        <w:rPr>
          <w:bCs/>
        </w:rPr>
        <w:t>5 e 6</w:t>
      </w:r>
      <w:r w:rsidRPr="009E282D">
        <w:rPr>
          <w:bCs/>
        </w:rPr>
        <w:t xml:space="preserve">, é mais compatível com a composição química do tubo ASTM A333 grau 6 (Tabela 1) do que a apresentada pelo consumível ER 80S Ni2 (Tabela </w:t>
      </w:r>
      <w:r w:rsidR="000877CC">
        <w:rPr>
          <w:bCs/>
        </w:rPr>
        <w:t>7</w:t>
      </w:r>
      <w:r w:rsidRPr="009E282D">
        <w:rPr>
          <w:bCs/>
        </w:rPr>
        <w:t>). Por isso, mediu-se o potencial elétrico de pilha (galvânico) desenvolvido em um circuito elétrico fechado entre os dois consumíveis submergidos em água do mar. Este potencial elétrico foi mensurado por um multímetro Mi</w:t>
      </w:r>
      <w:r w:rsidR="008201FF">
        <w:rPr>
          <w:bCs/>
        </w:rPr>
        <w:t>n</w:t>
      </w:r>
      <w:r w:rsidRPr="009E282D">
        <w:rPr>
          <w:bCs/>
        </w:rPr>
        <w:t>ipa ET-3910 e serve para verificar a possibilidade de degradação galvânica entre estes dois tipos de aços.</w:t>
      </w:r>
    </w:p>
    <w:p w:rsidR="009E282D" w:rsidRDefault="009E282D" w:rsidP="00E94513">
      <w:pPr>
        <w:shd w:val="clear" w:color="auto" w:fill="FFFFFF"/>
        <w:ind w:firstLine="567"/>
        <w:jc w:val="both"/>
        <w:textAlignment w:val="top"/>
        <w:rPr>
          <w:bCs/>
        </w:rPr>
      </w:pPr>
      <w:r w:rsidRPr="009E282D">
        <w:rPr>
          <w:bCs/>
        </w:rPr>
        <w:t>Foram realizadas análises químicas de amostras do tubo ASTM A333 grau 6 e do consumível ER70S3 depositado em juntas soldadas destes tubos através de um Espectrômetro de Emissão Ótica GNR Metal Lab 75/80J para confirmar esta similaridade. Além disso, foram realizados ensaios impacto Charpy a -45°C em Corpos de Prova (CPs) retirados do metal base (MB), zona termicamente afetada (ZTA) pelo calor da solda e do metal de solda (MS) de j</w:t>
      </w:r>
      <w:r w:rsidR="00866E3D">
        <w:rPr>
          <w:bCs/>
        </w:rPr>
        <w:t>untas de tubos ASTM A333 grau 6,</w:t>
      </w:r>
      <w:r w:rsidRPr="009E282D">
        <w:rPr>
          <w:bCs/>
        </w:rPr>
        <w:t xml:space="preserve"> soldadas com consumível ER70S3, fornecido pela Gerdau. Além da energia Charpy, foram registradas as áreas dúcteis (ADs) das fraturas dos CPs.</w:t>
      </w:r>
    </w:p>
    <w:p w:rsidR="009E282D" w:rsidRDefault="009E282D" w:rsidP="00394EB1">
      <w:pPr>
        <w:shd w:val="clear" w:color="auto" w:fill="FFFFFF"/>
        <w:ind w:firstLine="708"/>
        <w:jc w:val="both"/>
        <w:textAlignment w:val="top"/>
        <w:rPr>
          <w:bCs/>
        </w:rPr>
      </w:pPr>
    </w:p>
    <w:p w:rsidR="009E282D" w:rsidRDefault="009E282D" w:rsidP="00394EB1">
      <w:pPr>
        <w:shd w:val="clear" w:color="auto" w:fill="FFFFFF"/>
        <w:ind w:firstLine="708"/>
        <w:jc w:val="both"/>
        <w:textAlignment w:val="top"/>
        <w:rPr>
          <w:bCs/>
        </w:rPr>
      </w:pPr>
    </w:p>
    <w:p w:rsidR="005928EB" w:rsidRDefault="005928EB" w:rsidP="005928EB">
      <w:pPr>
        <w:tabs>
          <w:tab w:val="left" w:pos="567"/>
        </w:tabs>
        <w:rPr>
          <w:b/>
          <w:smallCaps/>
        </w:rPr>
      </w:pPr>
      <w:r>
        <w:rPr>
          <w:b/>
          <w:smallCaps/>
        </w:rPr>
        <w:t>3</w:t>
      </w:r>
      <w:r w:rsidRPr="005F013A">
        <w:rPr>
          <w:b/>
          <w:smallCaps/>
        </w:rPr>
        <w:t xml:space="preserve">. </w:t>
      </w:r>
      <w:r>
        <w:rPr>
          <w:b/>
        </w:rPr>
        <w:t>Resultados e Discussão</w:t>
      </w:r>
      <w:r w:rsidRPr="005F013A">
        <w:rPr>
          <w:b/>
          <w:smallCaps/>
        </w:rPr>
        <w:t xml:space="preserve"> </w:t>
      </w:r>
    </w:p>
    <w:p w:rsidR="00EC5A81" w:rsidRDefault="00EC5A81" w:rsidP="00394EB1">
      <w:pPr>
        <w:shd w:val="clear" w:color="auto" w:fill="FFFFFF"/>
        <w:ind w:firstLine="708"/>
        <w:jc w:val="both"/>
        <w:textAlignment w:val="top"/>
        <w:rPr>
          <w:bCs/>
        </w:rPr>
      </w:pPr>
    </w:p>
    <w:p w:rsidR="005426DD" w:rsidRDefault="009E282D" w:rsidP="00E94513">
      <w:pPr>
        <w:shd w:val="clear" w:color="auto" w:fill="FFFFFF"/>
        <w:ind w:firstLine="567"/>
        <w:jc w:val="both"/>
        <w:textAlignment w:val="top"/>
        <w:rPr>
          <w:bCs/>
        </w:rPr>
      </w:pPr>
      <w:r w:rsidRPr="009E282D">
        <w:rPr>
          <w:bCs/>
        </w:rPr>
        <w:t>A Tabela 10 apresenta as composições químicas obtidas do metal base (MB) e de solda (MS) das juntas testadas. Pode-se notar que a composição química do aço do metal de solda é bem simi</w:t>
      </w:r>
      <w:r w:rsidR="00866E3D">
        <w:rPr>
          <w:bCs/>
        </w:rPr>
        <w:t>lar ao indicado pelo fabricante Gerdau</w:t>
      </w:r>
      <w:r w:rsidRPr="009E282D">
        <w:rPr>
          <w:bCs/>
        </w:rPr>
        <w:t xml:space="preserve"> (Tabela </w:t>
      </w:r>
      <w:r w:rsidR="000877CC">
        <w:rPr>
          <w:bCs/>
        </w:rPr>
        <w:t>5</w:t>
      </w:r>
      <w:r w:rsidRPr="009E282D">
        <w:rPr>
          <w:bCs/>
        </w:rPr>
        <w:t xml:space="preserve">) e compatível com a composição química do aço ASTM A333 Gr. 6 (Tabela 1). Esta condição garante uma melhor homogeneidade física e mecânica do material assim como uma boa soldabilidade entre os mesmos, pois em termos de carbono equivalente, por exemplo definido pela fórmula do </w:t>
      </w:r>
      <w:r w:rsidRPr="009E282D">
        <w:rPr>
          <w:bCs/>
          <w:i/>
        </w:rPr>
        <w:t>International Institute of Welding</w:t>
      </w:r>
      <w:r w:rsidRPr="009E282D">
        <w:rPr>
          <w:bCs/>
        </w:rPr>
        <w:t xml:space="preserve"> (</w:t>
      </w:r>
      <w:r w:rsidRPr="009E282D">
        <w:rPr>
          <w:bCs/>
          <w:i/>
        </w:rPr>
        <w:t>IIW</w:t>
      </w:r>
      <w:r w:rsidRPr="009E282D">
        <w:rPr>
          <w:bCs/>
        </w:rPr>
        <w:t>): CEQ = %C + %Mn/6 + (%Cr+%V+%Mo)/5 + (%Ni+%Cu)/15, os dois metais são praticamente iguais e apresentam um baixo carbono equivalente.</w:t>
      </w:r>
    </w:p>
    <w:p w:rsidR="009E282D" w:rsidRPr="009E282D" w:rsidRDefault="009E282D" w:rsidP="00E94513">
      <w:pPr>
        <w:shd w:val="clear" w:color="auto" w:fill="FFFFFF"/>
        <w:ind w:firstLine="567"/>
        <w:jc w:val="both"/>
        <w:textAlignment w:val="top"/>
        <w:rPr>
          <w:bCs/>
        </w:rPr>
      </w:pPr>
      <w:r w:rsidRPr="009E282D">
        <w:rPr>
          <w:bCs/>
        </w:rPr>
        <w:t>Além da questão da soldabilidade, uma composição química similar evita a ocorrência de processos corrosivos de origem galvânica, quando dois metais ou ligas metálicas com composições químicas dissimilares são unidos formando um par galvânico. Este tipo de processo corrosivo é perigoso, pois ocorre de forma localizada.</w:t>
      </w:r>
    </w:p>
    <w:p w:rsidR="009E282D" w:rsidRPr="009E282D" w:rsidRDefault="009E282D" w:rsidP="00E94513">
      <w:pPr>
        <w:shd w:val="clear" w:color="auto" w:fill="FFFFFF"/>
        <w:ind w:firstLine="567"/>
        <w:jc w:val="both"/>
        <w:textAlignment w:val="top"/>
        <w:rPr>
          <w:bCs/>
        </w:rPr>
      </w:pPr>
      <w:r w:rsidRPr="009E282D">
        <w:rPr>
          <w:bCs/>
        </w:rPr>
        <w:t>Para fazer uma análise comparativa, verificou-se o potencial entre os metais analisados. Neste caso verificou-se que entre os dois consumíveis (ER 70S3 e ER 80S Ni2) houver a geração de um potencial de 0,2V no meio água marinha. Esse foi o mesmo valor registrado entre o metal do tubo A333 Gr. 6 e consumível ER 80S Ni2. Trata-se de um valor baixo, mas suficiente para produzir degradação galvânica ao longo do tempo de uso planejado da tubulação.</w:t>
      </w:r>
    </w:p>
    <w:p w:rsidR="009E282D" w:rsidRPr="009E282D" w:rsidRDefault="009E282D" w:rsidP="00E94513">
      <w:pPr>
        <w:shd w:val="clear" w:color="auto" w:fill="FFFFFF"/>
        <w:ind w:firstLine="567"/>
        <w:jc w:val="both"/>
        <w:textAlignment w:val="top"/>
        <w:rPr>
          <w:bCs/>
        </w:rPr>
      </w:pPr>
      <w:r w:rsidRPr="009E282D">
        <w:rPr>
          <w:bCs/>
        </w:rPr>
        <w:t xml:space="preserve">Em termos de tenacidade, a maior diferença entre o aço ASTM A333 Gr. 6 (Tabela 3) </w:t>
      </w:r>
      <w:r w:rsidR="000877CC">
        <w:rPr>
          <w:bCs/>
        </w:rPr>
        <w:t>e o consumível ER 70S3 (Tabela 9</w:t>
      </w:r>
      <w:r w:rsidRPr="009E282D">
        <w:rPr>
          <w:bCs/>
        </w:rPr>
        <w:t>) é a temperatura de garantia; -45°C para o tubo de aço e -20°C para o consumível; e o valor de energia a ser garantido; 18J para o tubo de aço e 27J para o consumível. Como as temperaturas de teste são diferentes, não é possível fazer uma comparação direta entre os dois aços. Porém em termos de garantia absoluta é possível afirmar que o consumível ER 70S3 é perfeitamente compatível com o tubo de aço ASTM A333 Gr. 6 na temperatura especifica de uso da tubulação (0°C).</w:t>
      </w:r>
    </w:p>
    <w:p w:rsidR="00CF5717" w:rsidRDefault="00CF5717" w:rsidP="00394EB1">
      <w:pPr>
        <w:shd w:val="clear" w:color="auto" w:fill="FFFFFF"/>
        <w:ind w:firstLine="708"/>
        <w:jc w:val="both"/>
        <w:textAlignment w:val="top"/>
        <w:rPr>
          <w:bCs/>
        </w:rPr>
      </w:pPr>
    </w:p>
    <w:p w:rsidR="009E282D" w:rsidRDefault="009E282D" w:rsidP="00394EB1">
      <w:pPr>
        <w:shd w:val="clear" w:color="auto" w:fill="FFFFFF"/>
        <w:ind w:firstLine="708"/>
        <w:jc w:val="both"/>
        <w:textAlignment w:val="top"/>
        <w:rPr>
          <w:bCs/>
        </w:rPr>
      </w:pPr>
    </w:p>
    <w:tbl>
      <w:tblPr>
        <w:tblStyle w:val="Tabelacomgrade"/>
        <w:tblW w:w="0" w:type="auto"/>
        <w:tblLook w:val="04A0" w:firstRow="1" w:lastRow="0" w:firstColumn="1" w:lastColumn="0" w:noHBand="0" w:noVBand="1"/>
      </w:tblPr>
      <w:tblGrid>
        <w:gridCol w:w="1678"/>
        <w:gridCol w:w="7716"/>
      </w:tblGrid>
      <w:tr w:rsidR="009E282D" w:rsidTr="009E282D">
        <w:tc>
          <w:tcPr>
            <w:tcW w:w="1678" w:type="dxa"/>
            <w:vAlign w:val="center"/>
          </w:tcPr>
          <w:p w:rsidR="009E282D" w:rsidRDefault="009E282D" w:rsidP="00CA5495">
            <w:pPr>
              <w:pStyle w:val="Corpodetexto"/>
              <w:suppressAutoHyphens/>
              <w:contextualSpacing/>
              <w:jc w:val="right"/>
              <w:rPr>
                <w:b/>
                <w:bCs/>
                <w:sz w:val="20"/>
                <w:szCs w:val="20"/>
              </w:rPr>
            </w:pPr>
            <w:r>
              <w:rPr>
                <w:sz w:val="20"/>
                <w:szCs w:val="20"/>
              </w:rPr>
              <w:t>Metal Base</w:t>
            </w:r>
          </w:p>
        </w:tc>
        <w:tc>
          <w:tcPr>
            <w:tcW w:w="7716" w:type="dxa"/>
          </w:tcPr>
          <w:p w:rsidR="009E282D" w:rsidRDefault="009E282D" w:rsidP="00CA5495">
            <w:pPr>
              <w:pStyle w:val="Corpodetexto"/>
              <w:suppressAutoHyphens/>
              <w:contextualSpacing/>
              <w:jc w:val="center"/>
              <w:rPr>
                <w:b/>
                <w:bCs/>
                <w:sz w:val="20"/>
                <w:szCs w:val="20"/>
              </w:rPr>
            </w:pPr>
            <w:r>
              <w:rPr>
                <w:bCs/>
                <w:noProof/>
              </w:rPr>
              <w:drawing>
                <wp:inline distT="0" distB="0" distL="0" distR="0" wp14:anchorId="39731784" wp14:editId="0F59F620">
                  <wp:extent cx="4758143" cy="1260000"/>
                  <wp:effectExtent l="0" t="0" r="4445" b="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nálise química - metal base.jpg"/>
                          <pic:cNvPicPr/>
                        </pic:nvPicPr>
                        <pic:blipFill rotWithShape="1">
                          <a:blip r:embed="rId17">
                            <a:extLst>
                              <a:ext uri="{28A0092B-C50C-407E-A947-70E740481C1C}">
                                <a14:useLocalDpi xmlns:a14="http://schemas.microsoft.com/office/drawing/2010/main" val="0"/>
                              </a:ext>
                            </a:extLst>
                          </a:blip>
                          <a:srcRect t="6242"/>
                          <a:stretch/>
                        </pic:blipFill>
                        <pic:spPr bwMode="auto">
                          <a:xfrm>
                            <a:off x="0" y="0"/>
                            <a:ext cx="4758143" cy="1260000"/>
                          </a:xfrm>
                          <a:prstGeom prst="rect">
                            <a:avLst/>
                          </a:prstGeom>
                          <a:ln>
                            <a:noFill/>
                          </a:ln>
                          <a:extLst>
                            <a:ext uri="{53640926-AAD7-44D8-BBD7-CCE9431645EC}">
                              <a14:shadowObscured xmlns:a14="http://schemas.microsoft.com/office/drawing/2010/main"/>
                            </a:ext>
                          </a:extLst>
                        </pic:spPr>
                      </pic:pic>
                    </a:graphicData>
                  </a:graphic>
                </wp:inline>
              </w:drawing>
            </w:r>
          </w:p>
        </w:tc>
      </w:tr>
      <w:tr w:rsidR="009E282D" w:rsidTr="009E282D">
        <w:tc>
          <w:tcPr>
            <w:tcW w:w="1678" w:type="dxa"/>
            <w:vAlign w:val="center"/>
          </w:tcPr>
          <w:p w:rsidR="009E282D" w:rsidRDefault="009E282D" w:rsidP="00CA5495">
            <w:pPr>
              <w:pStyle w:val="Corpodetexto"/>
              <w:suppressAutoHyphens/>
              <w:contextualSpacing/>
              <w:jc w:val="right"/>
              <w:rPr>
                <w:b/>
                <w:bCs/>
                <w:sz w:val="20"/>
                <w:szCs w:val="20"/>
              </w:rPr>
            </w:pPr>
            <w:r>
              <w:rPr>
                <w:sz w:val="20"/>
                <w:szCs w:val="20"/>
              </w:rPr>
              <w:t>Metal de Solda</w:t>
            </w:r>
          </w:p>
        </w:tc>
        <w:tc>
          <w:tcPr>
            <w:tcW w:w="7716" w:type="dxa"/>
          </w:tcPr>
          <w:p w:rsidR="009E282D" w:rsidRDefault="009E282D" w:rsidP="00CA5495">
            <w:pPr>
              <w:pStyle w:val="Corpodetexto"/>
              <w:suppressAutoHyphens/>
              <w:contextualSpacing/>
              <w:jc w:val="center"/>
              <w:rPr>
                <w:b/>
                <w:bCs/>
                <w:sz w:val="20"/>
                <w:szCs w:val="20"/>
              </w:rPr>
            </w:pPr>
            <w:r>
              <w:rPr>
                <w:bCs/>
                <w:noProof/>
              </w:rPr>
              <w:drawing>
                <wp:inline distT="0" distB="0" distL="0" distR="0" wp14:anchorId="0943F4EE" wp14:editId="0F1816FF">
                  <wp:extent cx="4746786" cy="12600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nálise química - metal solda.jpg"/>
                          <pic:cNvPicPr/>
                        </pic:nvPicPr>
                        <pic:blipFill rotWithShape="1">
                          <a:blip r:embed="rId18">
                            <a:extLst>
                              <a:ext uri="{28A0092B-C50C-407E-A947-70E740481C1C}">
                                <a14:useLocalDpi xmlns:a14="http://schemas.microsoft.com/office/drawing/2010/main" val="0"/>
                              </a:ext>
                            </a:extLst>
                          </a:blip>
                          <a:srcRect t="7710"/>
                          <a:stretch/>
                        </pic:blipFill>
                        <pic:spPr bwMode="auto">
                          <a:xfrm>
                            <a:off x="0" y="0"/>
                            <a:ext cx="4746786" cy="1260000"/>
                          </a:xfrm>
                          <a:prstGeom prst="rect">
                            <a:avLst/>
                          </a:prstGeom>
                          <a:ln>
                            <a:noFill/>
                          </a:ln>
                          <a:extLst>
                            <a:ext uri="{53640926-AAD7-44D8-BBD7-CCE9431645EC}">
                              <a14:shadowObscured xmlns:a14="http://schemas.microsoft.com/office/drawing/2010/main"/>
                            </a:ext>
                          </a:extLst>
                        </pic:spPr>
                      </pic:pic>
                    </a:graphicData>
                  </a:graphic>
                </wp:inline>
              </w:drawing>
            </w:r>
          </w:p>
        </w:tc>
      </w:tr>
    </w:tbl>
    <w:p w:rsidR="009E282D" w:rsidRPr="009E282D" w:rsidRDefault="009E282D" w:rsidP="009E282D">
      <w:pPr>
        <w:jc w:val="center"/>
        <w:rPr>
          <w:rFonts w:cs="Times New Roman"/>
          <w:color w:val="000000"/>
          <w:sz w:val="20"/>
          <w:szCs w:val="20"/>
        </w:rPr>
      </w:pPr>
    </w:p>
    <w:p w:rsidR="009E282D" w:rsidRPr="009E282D" w:rsidRDefault="009E282D" w:rsidP="009E282D">
      <w:pPr>
        <w:jc w:val="center"/>
        <w:rPr>
          <w:rFonts w:cs="Times New Roman"/>
          <w:color w:val="000000"/>
          <w:sz w:val="20"/>
          <w:szCs w:val="20"/>
        </w:rPr>
      </w:pPr>
      <w:r w:rsidRPr="009E282D">
        <w:rPr>
          <w:rFonts w:cs="Times New Roman"/>
          <w:color w:val="000000"/>
          <w:sz w:val="20"/>
          <w:szCs w:val="20"/>
        </w:rPr>
        <w:t xml:space="preserve">Tabela </w:t>
      </w:r>
      <w:r>
        <w:rPr>
          <w:rFonts w:cs="Times New Roman"/>
          <w:color w:val="000000"/>
          <w:sz w:val="20"/>
          <w:szCs w:val="20"/>
        </w:rPr>
        <w:t>10</w:t>
      </w:r>
      <w:r w:rsidRPr="009E282D">
        <w:rPr>
          <w:rFonts w:cs="Times New Roman"/>
          <w:color w:val="000000"/>
          <w:sz w:val="20"/>
          <w:szCs w:val="20"/>
        </w:rPr>
        <w:t>. Composição química da tubulação (metal base) e do metal de solda depositado a partir do consumível ER 70S3 empregado neste trabalho.</w:t>
      </w:r>
    </w:p>
    <w:p w:rsidR="009E282D" w:rsidRDefault="009E282D" w:rsidP="00394EB1">
      <w:pPr>
        <w:shd w:val="clear" w:color="auto" w:fill="FFFFFF"/>
        <w:ind w:firstLine="708"/>
        <w:jc w:val="both"/>
        <w:textAlignment w:val="top"/>
        <w:rPr>
          <w:bCs/>
        </w:rPr>
      </w:pPr>
    </w:p>
    <w:p w:rsidR="00CF761D" w:rsidRDefault="00CF761D" w:rsidP="00394EB1">
      <w:pPr>
        <w:shd w:val="clear" w:color="auto" w:fill="FFFFFF"/>
        <w:ind w:firstLine="708"/>
        <w:jc w:val="both"/>
        <w:textAlignment w:val="top"/>
        <w:rPr>
          <w:bCs/>
        </w:rPr>
      </w:pPr>
    </w:p>
    <w:p w:rsidR="009E282D" w:rsidRDefault="009E282D" w:rsidP="00E94513">
      <w:pPr>
        <w:shd w:val="clear" w:color="auto" w:fill="FFFFFF"/>
        <w:ind w:firstLine="567"/>
        <w:jc w:val="both"/>
        <w:textAlignment w:val="top"/>
        <w:rPr>
          <w:bCs/>
        </w:rPr>
      </w:pPr>
      <w:r w:rsidRPr="009E282D">
        <w:rPr>
          <w:bCs/>
        </w:rPr>
        <w:t>A Tabela 11 apresenta os dados obtidos nos ensaios Charpy e a Figura 1 apresenta o aspecto dos CPs após a ruptura no teste Charpy a -45°C. Nota-se que o valor da tenacidade a impacto Charpy foi bem mais elevada do que a registrada pelo metal base. O que pode ser atribuído ao baixo teor dos elementos de liga presentes no metal de solda, especialmente ao teor de carbono, conforme mostrado na Tabela 10.</w:t>
      </w:r>
    </w:p>
    <w:p w:rsidR="009E282D" w:rsidRDefault="009E282D" w:rsidP="00394EB1">
      <w:pPr>
        <w:shd w:val="clear" w:color="auto" w:fill="FFFFFF"/>
        <w:ind w:firstLine="708"/>
        <w:jc w:val="both"/>
        <w:textAlignment w:val="top"/>
        <w:rPr>
          <w:bCs/>
        </w:rPr>
      </w:pPr>
    </w:p>
    <w:tbl>
      <w:tblPr>
        <w:tblW w:w="9062" w:type="dxa"/>
        <w:tblBorders>
          <w:top w:val="single" w:sz="4" w:space="0" w:color="auto"/>
          <w:left w:val="single" w:sz="4" w:space="0" w:color="auto"/>
          <w:bottom w:val="single" w:sz="4" w:space="0" w:color="auto"/>
        </w:tblBorders>
        <w:tblCellMar>
          <w:left w:w="0" w:type="dxa"/>
          <w:right w:w="0" w:type="dxa"/>
        </w:tblCellMar>
        <w:tblLook w:val="0600" w:firstRow="0" w:lastRow="0" w:firstColumn="0" w:lastColumn="0" w:noHBand="1" w:noVBand="1"/>
      </w:tblPr>
      <w:tblGrid>
        <w:gridCol w:w="3251"/>
        <w:gridCol w:w="1937"/>
        <w:gridCol w:w="1937"/>
        <w:gridCol w:w="1937"/>
      </w:tblGrid>
      <w:tr w:rsidR="009E282D" w:rsidRPr="000F085C" w:rsidTr="00CA5495">
        <w:tc>
          <w:tcPr>
            <w:tcW w:w="3251" w:type="dxa"/>
            <w:tcBorders>
              <w:top w:val="single" w:sz="4" w:space="0" w:color="auto"/>
              <w:left w:val="nil"/>
              <w:bottom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p>
        </w:tc>
        <w:tc>
          <w:tcPr>
            <w:tcW w:w="1937"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
                <w:bCs/>
              </w:rPr>
              <w:t>Metal de Solda</w:t>
            </w:r>
          </w:p>
        </w:tc>
        <w:tc>
          <w:tcPr>
            <w:tcW w:w="1937"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
                <w:bCs/>
              </w:rPr>
              <w:t>ZTA</w:t>
            </w:r>
          </w:p>
        </w:tc>
        <w:tc>
          <w:tcPr>
            <w:tcW w:w="1937"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
                <w:bCs/>
              </w:rPr>
              <w:t>Metal Base</w:t>
            </w:r>
          </w:p>
        </w:tc>
      </w:tr>
      <w:tr w:rsidR="009E282D" w:rsidRPr="000F085C" w:rsidTr="00CA5495">
        <w:tc>
          <w:tcPr>
            <w:tcW w:w="3251" w:type="dxa"/>
            <w:tcBorders>
              <w:top w:val="single" w:sz="4" w:space="0" w:color="auto"/>
              <w:left w:val="nil"/>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Energia Média (J)</w:t>
            </w:r>
          </w:p>
        </w:tc>
        <w:tc>
          <w:tcPr>
            <w:tcW w:w="1937" w:type="dxa"/>
            <w:tcBorders>
              <w:top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143</w:t>
            </w:r>
          </w:p>
        </w:tc>
        <w:tc>
          <w:tcPr>
            <w:tcW w:w="1937" w:type="dxa"/>
            <w:tcBorders>
              <w:top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108</w:t>
            </w:r>
          </w:p>
        </w:tc>
        <w:tc>
          <w:tcPr>
            <w:tcW w:w="1937" w:type="dxa"/>
            <w:tcBorders>
              <w:top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43</w:t>
            </w:r>
          </w:p>
        </w:tc>
      </w:tr>
      <w:tr w:rsidR="009E282D" w:rsidRPr="000F085C" w:rsidTr="00CA5495">
        <w:tc>
          <w:tcPr>
            <w:tcW w:w="3251" w:type="dxa"/>
            <w:tcBorders>
              <w:left w:val="nil"/>
              <w:bottom w:val="single" w:sz="4" w:space="0" w:color="auto"/>
            </w:tcBorders>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%Área Dúctil</w:t>
            </w:r>
          </w:p>
        </w:tc>
        <w:tc>
          <w:tcPr>
            <w:tcW w:w="1937" w:type="dxa"/>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100%</w:t>
            </w:r>
          </w:p>
        </w:tc>
        <w:tc>
          <w:tcPr>
            <w:tcW w:w="1937" w:type="dxa"/>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65%</w:t>
            </w:r>
          </w:p>
        </w:tc>
        <w:tc>
          <w:tcPr>
            <w:tcW w:w="1937" w:type="dxa"/>
            <w:shd w:val="clear" w:color="auto" w:fill="auto"/>
            <w:tcMar>
              <w:top w:w="15" w:type="dxa"/>
              <w:left w:w="15" w:type="dxa"/>
              <w:bottom w:w="0" w:type="dxa"/>
              <w:right w:w="15" w:type="dxa"/>
            </w:tcMar>
            <w:vAlign w:val="center"/>
            <w:hideMark/>
          </w:tcPr>
          <w:p w:rsidR="009E282D" w:rsidRPr="000F085C" w:rsidRDefault="009E282D" w:rsidP="00CA5495">
            <w:pPr>
              <w:suppressAutoHyphens/>
              <w:contextualSpacing/>
              <w:jc w:val="center"/>
              <w:rPr>
                <w:bCs/>
              </w:rPr>
            </w:pPr>
            <w:r w:rsidRPr="000F085C">
              <w:rPr>
                <w:bCs/>
              </w:rPr>
              <w:t>22%</w:t>
            </w:r>
          </w:p>
        </w:tc>
      </w:tr>
    </w:tbl>
    <w:p w:rsidR="009E282D" w:rsidRPr="009E282D" w:rsidRDefault="009E282D" w:rsidP="009E282D">
      <w:pPr>
        <w:jc w:val="center"/>
        <w:rPr>
          <w:rFonts w:cs="Times New Roman"/>
          <w:color w:val="000000"/>
          <w:sz w:val="20"/>
          <w:szCs w:val="20"/>
        </w:rPr>
      </w:pPr>
    </w:p>
    <w:p w:rsidR="009E282D" w:rsidRPr="009E282D" w:rsidRDefault="009E282D" w:rsidP="009E282D">
      <w:pPr>
        <w:jc w:val="center"/>
        <w:rPr>
          <w:rFonts w:cs="Times New Roman"/>
          <w:color w:val="000000"/>
          <w:sz w:val="20"/>
          <w:szCs w:val="20"/>
        </w:rPr>
      </w:pPr>
      <w:r w:rsidRPr="009E282D">
        <w:rPr>
          <w:rFonts w:cs="Times New Roman"/>
          <w:color w:val="000000"/>
          <w:sz w:val="20"/>
          <w:szCs w:val="20"/>
        </w:rPr>
        <w:t xml:space="preserve">Tabela </w:t>
      </w:r>
      <w:r>
        <w:rPr>
          <w:rFonts w:cs="Times New Roman"/>
          <w:color w:val="000000"/>
          <w:sz w:val="20"/>
          <w:szCs w:val="20"/>
        </w:rPr>
        <w:t>11</w:t>
      </w:r>
      <w:r w:rsidRPr="009E282D">
        <w:rPr>
          <w:rFonts w:cs="Times New Roman"/>
          <w:color w:val="000000"/>
          <w:sz w:val="20"/>
          <w:szCs w:val="20"/>
        </w:rPr>
        <w:t>. Resultados dos testes de impacto Charpy a -45°C da tubulação (metal base)</w:t>
      </w:r>
    </w:p>
    <w:p w:rsidR="009E282D" w:rsidRPr="009E282D" w:rsidRDefault="009E282D" w:rsidP="009E282D">
      <w:pPr>
        <w:jc w:val="center"/>
        <w:rPr>
          <w:rFonts w:cs="Times New Roman"/>
          <w:color w:val="000000"/>
          <w:sz w:val="20"/>
          <w:szCs w:val="20"/>
        </w:rPr>
      </w:pPr>
      <w:r w:rsidRPr="009E282D">
        <w:rPr>
          <w:rFonts w:cs="Times New Roman"/>
          <w:color w:val="000000"/>
          <w:sz w:val="20"/>
          <w:szCs w:val="20"/>
        </w:rPr>
        <w:t>e do consumível ER 70S3 empregado no trabalho (metal de solda).</w:t>
      </w:r>
    </w:p>
    <w:p w:rsidR="009E282D" w:rsidRDefault="009E282D" w:rsidP="00394EB1">
      <w:pPr>
        <w:shd w:val="clear" w:color="auto" w:fill="FFFFFF"/>
        <w:ind w:firstLine="708"/>
        <w:jc w:val="both"/>
        <w:textAlignment w:val="top"/>
        <w:rPr>
          <w:bCs/>
        </w:rPr>
      </w:pPr>
    </w:p>
    <w:p w:rsidR="009E282D" w:rsidRDefault="009E282D" w:rsidP="00394EB1">
      <w:pPr>
        <w:shd w:val="clear" w:color="auto" w:fill="FFFFFF"/>
        <w:ind w:firstLine="708"/>
        <w:jc w:val="both"/>
        <w:textAlignment w:val="top"/>
        <w:rPr>
          <w:bCs/>
        </w:rPr>
      </w:pPr>
    </w:p>
    <w:p w:rsidR="009E282D" w:rsidRDefault="009E282D" w:rsidP="00E94513">
      <w:pPr>
        <w:shd w:val="clear" w:color="auto" w:fill="FFFFFF"/>
        <w:ind w:firstLine="567"/>
        <w:jc w:val="both"/>
        <w:textAlignment w:val="top"/>
        <w:rPr>
          <w:bCs/>
        </w:rPr>
      </w:pPr>
      <w:r w:rsidRPr="009E282D">
        <w:rPr>
          <w:bCs/>
        </w:rPr>
        <w:t>Além das considerações feitas, a norma ASME B31.3</w:t>
      </w:r>
      <w:r w:rsidR="00866E3D">
        <w:rPr>
          <w:bCs/>
        </w:rPr>
        <w:t xml:space="preserve"> </w:t>
      </w:r>
      <w:r w:rsidR="002561EE">
        <w:rPr>
          <w:bCs/>
        </w:rPr>
        <w:t>(ASME, 2010)</w:t>
      </w:r>
      <w:r w:rsidRPr="009E282D">
        <w:rPr>
          <w:bCs/>
        </w:rPr>
        <w:t xml:space="preserve"> informa, em sua tabela A-1 as características do metal da norma ASTM A333 Gr. 6 que são relevantes aos trabalhos de solda. Esta tabela apresenta a uma nota técnica, que cita uma nova tabela nesta norma (</w:t>
      </w:r>
      <w:r w:rsidRPr="000877CC">
        <w:rPr>
          <w:bCs/>
          <w:i/>
        </w:rPr>
        <w:t>Table</w:t>
      </w:r>
      <w:r w:rsidRPr="009E282D">
        <w:rPr>
          <w:bCs/>
        </w:rPr>
        <w:t xml:space="preserve"> 323.2.2) que isenta a junta solda de testes de impacto Charpy no processo de qualificação do procedimento de solda, caso o material seja empregado, em projeto, em temperaturas acima de -29°C.</w:t>
      </w:r>
    </w:p>
    <w:p w:rsidR="009E282D" w:rsidRDefault="009E282D" w:rsidP="00394EB1">
      <w:pPr>
        <w:shd w:val="clear" w:color="auto" w:fill="FFFFFF"/>
        <w:ind w:firstLine="708"/>
        <w:jc w:val="both"/>
        <w:textAlignment w:val="top"/>
        <w:rPr>
          <w:bCs/>
        </w:rPr>
      </w:pPr>
    </w:p>
    <w:p w:rsidR="009E282D" w:rsidRDefault="009E282D" w:rsidP="00394EB1">
      <w:pPr>
        <w:shd w:val="clear" w:color="auto" w:fill="FFFFFF"/>
        <w:ind w:firstLine="708"/>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3"/>
        <w:gridCol w:w="3024"/>
        <w:gridCol w:w="3024"/>
      </w:tblGrid>
      <w:tr w:rsidR="009E282D" w:rsidTr="0061284C">
        <w:tc>
          <w:tcPr>
            <w:tcW w:w="3023" w:type="dxa"/>
            <w:vAlign w:val="bottom"/>
          </w:tcPr>
          <w:p w:rsidR="009E282D" w:rsidRDefault="009E282D" w:rsidP="00CA5495">
            <w:pPr>
              <w:suppressAutoHyphens/>
              <w:contextualSpacing/>
              <w:jc w:val="center"/>
              <w:rPr>
                <w:bCs/>
              </w:rPr>
            </w:pPr>
            <w:r>
              <w:rPr>
                <w:bCs/>
                <w:noProof/>
              </w:rPr>
              <w:lastRenderedPageBreak/>
              <w:drawing>
                <wp:inline distT="0" distB="0" distL="0" distR="0" wp14:anchorId="6446DB3D" wp14:editId="0D55A2BB">
                  <wp:extent cx="1486537" cy="1800000"/>
                  <wp:effectExtent l="0" t="0" r="0" b="0"/>
                  <wp:docPr id="31" name="Imagem 31" descr="C:\Users\WillyAnk\Documents\ARTIGOS\2016\ABM Week\29999 - Uso de aço carbono ou liga de níquel\Charpy 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llyAnk\Documents\ARTIGOS\2016\ABM Week\29999 - Uso de aço carbono ou liga de níquel\Charpy MB.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86537" cy="1800000"/>
                          </a:xfrm>
                          <a:prstGeom prst="rect">
                            <a:avLst/>
                          </a:prstGeom>
                          <a:noFill/>
                          <a:ln>
                            <a:noFill/>
                          </a:ln>
                        </pic:spPr>
                      </pic:pic>
                    </a:graphicData>
                  </a:graphic>
                </wp:inline>
              </w:drawing>
            </w:r>
          </w:p>
        </w:tc>
        <w:tc>
          <w:tcPr>
            <w:tcW w:w="3024" w:type="dxa"/>
            <w:vAlign w:val="bottom"/>
          </w:tcPr>
          <w:p w:rsidR="009E282D" w:rsidRDefault="009E282D" w:rsidP="00CA5495">
            <w:pPr>
              <w:suppressAutoHyphens/>
              <w:contextualSpacing/>
              <w:jc w:val="center"/>
              <w:rPr>
                <w:bCs/>
              </w:rPr>
            </w:pPr>
            <w:r>
              <w:rPr>
                <w:bCs/>
                <w:noProof/>
              </w:rPr>
              <w:drawing>
                <wp:inline distT="0" distB="0" distL="0" distR="0" wp14:anchorId="2950A52B" wp14:editId="15DD362B">
                  <wp:extent cx="1581253" cy="1800000"/>
                  <wp:effectExtent l="0" t="0" r="0" b="0"/>
                  <wp:docPr id="29" name="Imagem 29" descr="C:\Users\WillyAnk\Documents\ARTIGOS\2016\ABM Week\29999 - Uso de aço carbono ou liga de níquel\Charpy Z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llyAnk\Documents\ARTIGOS\2016\ABM Week\29999 - Uso de aço carbono ou liga de níquel\Charpy ZTA.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81253" cy="1800000"/>
                          </a:xfrm>
                          <a:prstGeom prst="rect">
                            <a:avLst/>
                          </a:prstGeom>
                          <a:noFill/>
                          <a:ln>
                            <a:noFill/>
                          </a:ln>
                        </pic:spPr>
                      </pic:pic>
                    </a:graphicData>
                  </a:graphic>
                </wp:inline>
              </w:drawing>
            </w:r>
          </w:p>
        </w:tc>
        <w:tc>
          <w:tcPr>
            <w:tcW w:w="3024" w:type="dxa"/>
            <w:vAlign w:val="bottom"/>
          </w:tcPr>
          <w:p w:rsidR="009E282D" w:rsidRDefault="009E282D" w:rsidP="00CA5495">
            <w:pPr>
              <w:suppressAutoHyphens/>
              <w:contextualSpacing/>
              <w:jc w:val="center"/>
              <w:rPr>
                <w:bCs/>
              </w:rPr>
            </w:pPr>
            <w:r>
              <w:rPr>
                <w:bCs/>
                <w:noProof/>
              </w:rPr>
              <w:drawing>
                <wp:inline distT="0" distB="0" distL="0" distR="0" wp14:anchorId="6273D767" wp14:editId="111B64B6">
                  <wp:extent cx="1593909" cy="1800000"/>
                  <wp:effectExtent l="0" t="0" r="6350" b="0"/>
                  <wp:docPr id="30" name="Imagem 30" descr="C:\Users\WillyAnk\Documents\ARTIGOS\2016\ABM Week\29999 - Uso de aço carbono ou liga de níquel\Charpy 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llyAnk\Documents\ARTIGOS\2016\ABM Week\29999 - Uso de aço carbono ou liga de níquel\Charpy MS.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93909" cy="1800000"/>
                          </a:xfrm>
                          <a:prstGeom prst="rect">
                            <a:avLst/>
                          </a:prstGeom>
                          <a:noFill/>
                          <a:ln>
                            <a:noFill/>
                          </a:ln>
                        </pic:spPr>
                      </pic:pic>
                    </a:graphicData>
                  </a:graphic>
                </wp:inline>
              </w:drawing>
            </w:r>
          </w:p>
        </w:tc>
      </w:tr>
      <w:tr w:rsidR="009E282D" w:rsidTr="0061284C">
        <w:tc>
          <w:tcPr>
            <w:tcW w:w="3023" w:type="dxa"/>
            <w:vAlign w:val="center"/>
          </w:tcPr>
          <w:p w:rsidR="009E282D" w:rsidRPr="00B15150" w:rsidRDefault="009E282D" w:rsidP="00CA5495">
            <w:pPr>
              <w:suppressAutoHyphens/>
              <w:contextualSpacing/>
              <w:jc w:val="center"/>
              <w:rPr>
                <w:bCs/>
                <w:sz w:val="18"/>
              </w:rPr>
            </w:pPr>
            <w:r w:rsidRPr="00B15150">
              <w:rPr>
                <w:bCs/>
                <w:sz w:val="18"/>
              </w:rPr>
              <w:t>METAL BASE</w:t>
            </w:r>
          </w:p>
        </w:tc>
        <w:tc>
          <w:tcPr>
            <w:tcW w:w="3024" w:type="dxa"/>
            <w:vAlign w:val="center"/>
          </w:tcPr>
          <w:p w:rsidR="009E282D" w:rsidRPr="00B15150" w:rsidRDefault="009E282D" w:rsidP="00CA5495">
            <w:pPr>
              <w:suppressAutoHyphens/>
              <w:contextualSpacing/>
              <w:jc w:val="center"/>
              <w:rPr>
                <w:bCs/>
                <w:sz w:val="18"/>
              </w:rPr>
            </w:pPr>
            <w:r w:rsidRPr="00B15150">
              <w:rPr>
                <w:bCs/>
                <w:sz w:val="18"/>
              </w:rPr>
              <w:t>ZTA</w:t>
            </w:r>
          </w:p>
        </w:tc>
        <w:tc>
          <w:tcPr>
            <w:tcW w:w="3024" w:type="dxa"/>
            <w:vAlign w:val="center"/>
          </w:tcPr>
          <w:p w:rsidR="009E282D" w:rsidRPr="00B15150" w:rsidRDefault="009E282D" w:rsidP="00CA5495">
            <w:pPr>
              <w:suppressAutoHyphens/>
              <w:contextualSpacing/>
              <w:jc w:val="center"/>
              <w:rPr>
                <w:bCs/>
                <w:sz w:val="18"/>
              </w:rPr>
            </w:pPr>
            <w:r w:rsidRPr="00B15150">
              <w:rPr>
                <w:bCs/>
                <w:sz w:val="18"/>
              </w:rPr>
              <w:t>METAL DE SOLDA</w:t>
            </w:r>
          </w:p>
        </w:tc>
      </w:tr>
    </w:tbl>
    <w:p w:rsidR="009E282D" w:rsidRPr="009E282D" w:rsidRDefault="009E282D" w:rsidP="009E282D">
      <w:pPr>
        <w:jc w:val="center"/>
        <w:rPr>
          <w:rFonts w:cs="Times New Roman"/>
          <w:color w:val="000000"/>
          <w:sz w:val="20"/>
          <w:szCs w:val="20"/>
        </w:rPr>
      </w:pPr>
    </w:p>
    <w:p w:rsidR="009E282D" w:rsidRPr="009E282D" w:rsidRDefault="009E282D" w:rsidP="009E282D">
      <w:pPr>
        <w:jc w:val="center"/>
        <w:rPr>
          <w:rFonts w:cs="Times New Roman"/>
          <w:color w:val="000000"/>
          <w:sz w:val="20"/>
          <w:szCs w:val="20"/>
        </w:rPr>
      </w:pPr>
      <w:r>
        <w:rPr>
          <w:rFonts w:cs="Times New Roman"/>
          <w:color w:val="000000"/>
          <w:sz w:val="20"/>
          <w:szCs w:val="20"/>
        </w:rPr>
        <w:t>Figura</w:t>
      </w:r>
      <w:r w:rsidRPr="009E282D">
        <w:rPr>
          <w:rFonts w:cs="Times New Roman"/>
          <w:color w:val="000000"/>
          <w:sz w:val="20"/>
          <w:szCs w:val="20"/>
        </w:rPr>
        <w:t xml:space="preserve"> </w:t>
      </w:r>
      <w:r>
        <w:rPr>
          <w:rFonts w:cs="Times New Roman"/>
          <w:color w:val="000000"/>
          <w:sz w:val="20"/>
          <w:szCs w:val="20"/>
        </w:rPr>
        <w:t>1</w:t>
      </w:r>
      <w:r w:rsidRPr="009E282D">
        <w:rPr>
          <w:rFonts w:cs="Times New Roman"/>
          <w:color w:val="000000"/>
          <w:sz w:val="20"/>
          <w:szCs w:val="20"/>
        </w:rPr>
        <w:t>. Superfícies de fratura obtidas no teste de impacto Charpy.</w:t>
      </w:r>
    </w:p>
    <w:p w:rsidR="009E282D" w:rsidRDefault="009E282D" w:rsidP="00394EB1">
      <w:pPr>
        <w:shd w:val="clear" w:color="auto" w:fill="FFFFFF"/>
        <w:ind w:firstLine="708"/>
        <w:jc w:val="both"/>
        <w:textAlignment w:val="top"/>
        <w:rPr>
          <w:bCs/>
        </w:rPr>
      </w:pPr>
    </w:p>
    <w:p w:rsidR="00BD4240" w:rsidRDefault="00BD4240" w:rsidP="00394EB1">
      <w:pPr>
        <w:shd w:val="clear" w:color="auto" w:fill="FFFFFF"/>
        <w:ind w:firstLine="708"/>
        <w:jc w:val="both"/>
        <w:textAlignment w:val="top"/>
        <w:rPr>
          <w:bCs/>
        </w:rPr>
      </w:pPr>
    </w:p>
    <w:p w:rsidR="00C7502B" w:rsidRPr="005F013A" w:rsidRDefault="00A94194" w:rsidP="005F013A">
      <w:pPr>
        <w:tabs>
          <w:tab w:val="left" w:pos="567"/>
        </w:tabs>
        <w:jc w:val="both"/>
        <w:rPr>
          <w:b/>
        </w:rPr>
      </w:pPr>
      <w:r>
        <w:rPr>
          <w:b/>
        </w:rPr>
        <w:t>4</w:t>
      </w:r>
      <w:r w:rsidR="00C7502B" w:rsidRPr="005F013A">
        <w:rPr>
          <w:b/>
        </w:rPr>
        <w:t xml:space="preserve">. </w:t>
      </w:r>
      <w:r>
        <w:rPr>
          <w:b/>
        </w:rPr>
        <w:t>Conclusões</w:t>
      </w:r>
    </w:p>
    <w:p w:rsidR="001D27B5" w:rsidRPr="00A94194" w:rsidRDefault="001D27B5" w:rsidP="00A94194">
      <w:pPr>
        <w:shd w:val="clear" w:color="auto" w:fill="FFFFFF"/>
        <w:ind w:firstLine="708"/>
        <w:jc w:val="both"/>
        <w:textAlignment w:val="top"/>
        <w:rPr>
          <w:bCs/>
        </w:rPr>
      </w:pPr>
    </w:p>
    <w:p w:rsidR="00CF5717" w:rsidRDefault="009E282D" w:rsidP="00E94513">
      <w:pPr>
        <w:shd w:val="clear" w:color="auto" w:fill="FFFFFF"/>
        <w:ind w:firstLine="567"/>
        <w:jc w:val="both"/>
        <w:textAlignment w:val="top"/>
        <w:rPr>
          <w:bCs/>
        </w:rPr>
      </w:pPr>
      <w:r w:rsidRPr="009E282D">
        <w:rPr>
          <w:bCs/>
        </w:rPr>
        <w:t>O uso do consumível ER 70S3 é viável para a soldagem de tubulações de aço ASTM A333 Gr.6, se os mesmos forem empregados em temperaturas de trabalho até um mínimo de -29°C, conforme resultados obtidos e conforme a ASME B31.1. Nestes casos, o consumível ER 70S3 não é só permitido pelas normas técnicas vigentes, como também é preferível em termos metalúrgicos e químicos por garantir melhor homogeneidade mecânica e por evitar eventuais efeitos de corrosão galvânica.</w:t>
      </w:r>
    </w:p>
    <w:p w:rsidR="009E282D" w:rsidRDefault="009E282D" w:rsidP="00A94194">
      <w:pPr>
        <w:shd w:val="clear" w:color="auto" w:fill="FFFFFF"/>
        <w:ind w:firstLine="708"/>
        <w:jc w:val="both"/>
        <w:textAlignment w:val="top"/>
        <w:rPr>
          <w:bCs/>
        </w:rPr>
      </w:pPr>
    </w:p>
    <w:p w:rsidR="00866E3D" w:rsidRDefault="00866E3D" w:rsidP="00A94194">
      <w:pPr>
        <w:shd w:val="clear" w:color="auto" w:fill="FFFFFF"/>
        <w:ind w:firstLine="708"/>
        <w:jc w:val="both"/>
        <w:textAlignment w:val="top"/>
        <w:rPr>
          <w:bCs/>
        </w:rPr>
      </w:pPr>
    </w:p>
    <w:p w:rsidR="009E282D" w:rsidRPr="005F013A" w:rsidRDefault="009E282D" w:rsidP="009E282D">
      <w:pPr>
        <w:tabs>
          <w:tab w:val="left" w:pos="567"/>
        </w:tabs>
        <w:jc w:val="both"/>
        <w:rPr>
          <w:b/>
        </w:rPr>
      </w:pPr>
      <w:r>
        <w:rPr>
          <w:b/>
        </w:rPr>
        <w:t>5</w:t>
      </w:r>
      <w:r w:rsidRPr="005F013A">
        <w:rPr>
          <w:b/>
        </w:rPr>
        <w:t xml:space="preserve">. </w:t>
      </w:r>
      <w:r>
        <w:rPr>
          <w:b/>
        </w:rPr>
        <w:t>Agradecimen</w:t>
      </w:r>
      <w:r w:rsidR="008201FF">
        <w:rPr>
          <w:b/>
        </w:rPr>
        <w:t>t</w:t>
      </w:r>
      <w:r>
        <w:rPr>
          <w:b/>
        </w:rPr>
        <w:t>os</w:t>
      </w:r>
    </w:p>
    <w:p w:rsidR="009E282D" w:rsidRDefault="009E282D" w:rsidP="00A94194">
      <w:pPr>
        <w:shd w:val="clear" w:color="auto" w:fill="FFFFFF"/>
        <w:ind w:firstLine="708"/>
        <w:jc w:val="both"/>
        <w:textAlignment w:val="top"/>
        <w:rPr>
          <w:bCs/>
        </w:rPr>
      </w:pPr>
    </w:p>
    <w:p w:rsidR="009E282D" w:rsidRDefault="009E282D" w:rsidP="00E94513">
      <w:pPr>
        <w:shd w:val="clear" w:color="auto" w:fill="FFFFFF"/>
        <w:ind w:firstLine="567"/>
        <w:jc w:val="both"/>
        <w:textAlignment w:val="top"/>
        <w:rPr>
          <w:bCs/>
        </w:rPr>
      </w:pPr>
      <w:r w:rsidRPr="009E282D">
        <w:rPr>
          <w:bCs/>
        </w:rPr>
        <w:t>Os autores gostariam de agradecer o apoio da empresa INSPEBRAS no fornecimento dos consumíveis de solda, dos equipamentos e da mão de obra para a execução das juntas soldadas analisadas neste trabalho.</w:t>
      </w:r>
    </w:p>
    <w:p w:rsidR="009E282D" w:rsidRPr="00A94194" w:rsidRDefault="009E282D" w:rsidP="00A94194">
      <w:pPr>
        <w:shd w:val="clear" w:color="auto" w:fill="FFFFFF"/>
        <w:ind w:firstLine="708"/>
        <w:jc w:val="both"/>
        <w:textAlignment w:val="top"/>
        <w:rPr>
          <w:bCs/>
        </w:rPr>
      </w:pPr>
    </w:p>
    <w:p w:rsidR="000A4838" w:rsidRPr="005F013A" w:rsidRDefault="000F148A" w:rsidP="005F013A">
      <w:pPr>
        <w:autoSpaceDE w:val="0"/>
        <w:autoSpaceDN w:val="0"/>
        <w:adjustRightInd w:val="0"/>
        <w:ind w:left="426" w:hanging="426"/>
        <w:jc w:val="both"/>
        <w:rPr>
          <w:b/>
        </w:rPr>
      </w:pPr>
      <w:r>
        <w:rPr>
          <w:b/>
        </w:rPr>
        <w:t>6</w:t>
      </w:r>
      <w:r w:rsidR="000A4838" w:rsidRPr="005F013A">
        <w:rPr>
          <w:b/>
        </w:rPr>
        <w:t xml:space="preserve">. Referências </w:t>
      </w:r>
      <w:r w:rsidR="001959CD" w:rsidRPr="005F013A">
        <w:rPr>
          <w:b/>
        </w:rPr>
        <w:t>citadas e selecionadas</w:t>
      </w:r>
    </w:p>
    <w:p w:rsidR="001238BC" w:rsidRDefault="001238BC"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Pr>
          <w:szCs w:val="20"/>
        </w:rPr>
        <w:t>API</w:t>
      </w:r>
      <w:r w:rsidRPr="00732AFC">
        <w:rPr>
          <w:szCs w:val="20"/>
        </w:rPr>
        <w:t xml:space="preserve">. </w:t>
      </w:r>
      <w:r w:rsidRPr="00732AFC">
        <w:rPr>
          <w:b/>
          <w:szCs w:val="20"/>
        </w:rPr>
        <w:t>Specification for Line Pipe</w:t>
      </w:r>
      <w:r>
        <w:rPr>
          <w:szCs w:val="20"/>
        </w:rPr>
        <w:t xml:space="preserve">. </w:t>
      </w:r>
      <w:r w:rsidRPr="00732AFC">
        <w:rPr>
          <w:szCs w:val="20"/>
        </w:rPr>
        <w:t>AMERICAN PETROLEUM INSTITUTE., API Specification 5L, 44th edition, March, 2007.</w:t>
      </w:r>
    </w:p>
    <w:p w:rsidR="00892E78" w:rsidRPr="00732AFC"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Pr>
          <w:szCs w:val="20"/>
        </w:rPr>
        <w:t xml:space="preserve">API. </w:t>
      </w:r>
      <w:r w:rsidRPr="00732AFC">
        <w:rPr>
          <w:b/>
          <w:szCs w:val="20"/>
        </w:rPr>
        <w:t>Specification for Steel Plates for Offshore Structures Produced by Thermo-Mechanical Control  Processing (TMCP)</w:t>
      </w:r>
      <w:r w:rsidRPr="00732AFC">
        <w:rPr>
          <w:szCs w:val="20"/>
        </w:rPr>
        <w:t>, AMERICAN PETROLEUM INSTITUTE</w:t>
      </w:r>
      <w:r>
        <w:rPr>
          <w:szCs w:val="20"/>
        </w:rPr>
        <w:t xml:space="preserve">, </w:t>
      </w:r>
      <w:r w:rsidRPr="00732AFC">
        <w:rPr>
          <w:szCs w:val="20"/>
        </w:rPr>
        <w:t>API Specification 2W, 5th edition, March, 2007.</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sidRPr="00732AFC">
        <w:rPr>
          <w:szCs w:val="20"/>
        </w:rPr>
        <w:t xml:space="preserve">ASM INTERNATIONAL. ASM Handbook Volume 01: </w:t>
      </w:r>
      <w:r w:rsidRPr="00732AFC">
        <w:rPr>
          <w:b/>
        </w:rPr>
        <w:t>Properties and Selection: Irons, Steels, and High-Performance Alloys</w:t>
      </w:r>
      <w:r w:rsidRPr="00732AFC">
        <w:rPr>
          <w:szCs w:val="20"/>
        </w:rPr>
        <w:t>, vol. 01, Materials Park, 1990.</w:t>
      </w:r>
    </w:p>
    <w:p w:rsidR="00892E78" w:rsidRDefault="00892E78" w:rsidP="001238BC">
      <w:pPr>
        <w:autoSpaceDE w:val="0"/>
        <w:autoSpaceDN w:val="0"/>
        <w:adjustRightInd w:val="0"/>
        <w:jc w:val="both"/>
        <w:rPr>
          <w:szCs w:val="20"/>
        </w:rPr>
      </w:pPr>
    </w:p>
    <w:p w:rsidR="00892E78" w:rsidRPr="009F051A" w:rsidRDefault="00892E78" w:rsidP="001238BC">
      <w:pPr>
        <w:autoSpaceDE w:val="0"/>
        <w:autoSpaceDN w:val="0"/>
        <w:adjustRightInd w:val="0"/>
        <w:jc w:val="both"/>
        <w:rPr>
          <w:szCs w:val="20"/>
        </w:rPr>
      </w:pPr>
      <w:r w:rsidRPr="00732AFC">
        <w:rPr>
          <w:szCs w:val="20"/>
        </w:rPr>
        <w:t xml:space="preserve">ASME. ASME B31.3. </w:t>
      </w:r>
      <w:r w:rsidRPr="00732AFC">
        <w:rPr>
          <w:b/>
          <w:szCs w:val="20"/>
        </w:rPr>
        <w:t>Process Piping - ASME Code for Pressure Piping</w:t>
      </w:r>
      <w:r>
        <w:rPr>
          <w:szCs w:val="20"/>
        </w:rPr>
        <w:t>, B31, 2010.</w:t>
      </w:r>
    </w:p>
    <w:p w:rsidR="00892E78" w:rsidRDefault="00892E78" w:rsidP="001238BC">
      <w:pPr>
        <w:autoSpaceDE w:val="0"/>
        <w:autoSpaceDN w:val="0"/>
        <w:adjustRightInd w:val="0"/>
        <w:jc w:val="both"/>
        <w:rPr>
          <w:szCs w:val="20"/>
        </w:rPr>
      </w:pPr>
      <w:r w:rsidRPr="00732AFC">
        <w:rPr>
          <w:szCs w:val="20"/>
        </w:rPr>
        <w:t xml:space="preserve">ASME. ASME Sec. II, </w:t>
      </w:r>
      <w:r w:rsidRPr="00732AFC">
        <w:rPr>
          <w:b/>
          <w:szCs w:val="20"/>
        </w:rPr>
        <w:t>Boiler and Pressure Vessel Code. Part C: Specifications for Welding Rods, Electrodes, and Filler Metals</w:t>
      </w:r>
      <w:r w:rsidRPr="00732AFC">
        <w:rPr>
          <w:szCs w:val="20"/>
        </w:rPr>
        <w:t>, 2010</w:t>
      </w:r>
      <w:r>
        <w:rPr>
          <w:szCs w:val="20"/>
        </w:rPr>
        <w:t>.</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sidRPr="00732AFC">
        <w:rPr>
          <w:szCs w:val="20"/>
        </w:rPr>
        <w:lastRenderedPageBreak/>
        <w:t>A</w:t>
      </w:r>
      <w:r>
        <w:rPr>
          <w:szCs w:val="20"/>
        </w:rPr>
        <w:t>STM.</w:t>
      </w:r>
      <w:r w:rsidRPr="00732AFC">
        <w:rPr>
          <w:szCs w:val="20"/>
        </w:rPr>
        <w:t xml:space="preserve"> ASTM A1040:04. </w:t>
      </w:r>
      <w:r w:rsidRPr="00732AFC">
        <w:rPr>
          <w:b/>
          <w:szCs w:val="20"/>
        </w:rPr>
        <w:t>Standard Guide for Specifying Harmonized Standard Grade Compositions for Wrought Carbon, Low-Alloy, and Alloy Steels</w:t>
      </w:r>
      <w:r w:rsidRPr="00732AFC">
        <w:rPr>
          <w:szCs w:val="20"/>
        </w:rPr>
        <w:t xml:space="preserve">, </w:t>
      </w:r>
      <w:r>
        <w:rPr>
          <w:szCs w:val="20"/>
        </w:rPr>
        <w:t>A</w:t>
      </w:r>
      <w:r w:rsidRPr="00732AFC">
        <w:rPr>
          <w:szCs w:val="20"/>
        </w:rPr>
        <w:t>MERICAN SOCIETY FOR TESTING AND MATERIALS</w:t>
      </w:r>
      <w:r>
        <w:rPr>
          <w:szCs w:val="20"/>
        </w:rPr>
        <w:t xml:space="preserve">, </w:t>
      </w:r>
      <w:r w:rsidRPr="00732AFC">
        <w:rPr>
          <w:szCs w:val="20"/>
        </w:rPr>
        <w:t>2004.</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Pr>
          <w:szCs w:val="20"/>
        </w:rPr>
        <w:t>ASTM</w:t>
      </w:r>
      <w:r w:rsidRPr="00732AFC">
        <w:rPr>
          <w:szCs w:val="20"/>
        </w:rPr>
        <w:t xml:space="preserve">. ASTM A131/A131M:14. </w:t>
      </w:r>
      <w:r w:rsidRPr="00732AFC">
        <w:rPr>
          <w:b/>
          <w:szCs w:val="20"/>
        </w:rPr>
        <w:t>Standard Specification for Structural Steel for Ships</w:t>
      </w:r>
      <w:r>
        <w:rPr>
          <w:szCs w:val="20"/>
        </w:rPr>
        <w:t>.</w:t>
      </w:r>
      <w:r w:rsidRPr="00732AFC">
        <w:rPr>
          <w:szCs w:val="20"/>
        </w:rPr>
        <w:t xml:space="preserve"> AMERICAN SOCIETY FOR TESTING AND MATERIALS</w:t>
      </w:r>
      <w:r>
        <w:rPr>
          <w:szCs w:val="20"/>
        </w:rPr>
        <w:t xml:space="preserve">, </w:t>
      </w:r>
      <w:r w:rsidRPr="00732AFC">
        <w:rPr>
          <w:szCs w:val="20"/>
        </w:rPr>
        <w:t>2014.</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Pr>
          <w:szCs w:val="20"/>
        </w:rPr>
        <w:t>ASTM</w:t>
      </w:r>
      <w:r w:rsidRPr="00732AFC">
        <w:rPr>
          <w:szCs w:val="20"/>
        </w:rPr>
        <w:t xml:space="preserve">. ASTM A333/A333M:13. </w:t>
      </w:r>
      <w:r w:rsidRPr="00732AFC">
        <w:rPr>
          <w:b/>
          <w:szCs w:val="20"/>
        </w:rPr>
        <w:t>Standard Specification for Seamless and Welded Steel Pipe for Low-Temperature Service and Other Applications with Required Notch Toughness</w:t>
      </w:r>
      <w:r w:rsidRPr="00732AFC">
        <w:rPr>
          <w:szCs w:val="20"/>
        </w:rPr>
        <w:t>, AMERICAN SOCIETY FOR TESTING AND MATERIALS</w:t>
      </w:r>
      <w:r>
        <w:rPr>
          <w:szCs w:val="20"/>
        </w:rPr>
        <w:t xml:space="preserve">, </w:t>
      </w:r>
      <w:r w:rsidRPr="00732AFC">
        <w:rPr>
          <w:szCs w:val="20"/>
        </w:rPr>
        <w:t>2013.</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sidRPr="00732AFC">
        <w:rPr>
          <w:szCs w:val="20"/>
        </w:rPr>
        <w:t xml:space="preserve">COMITRE, T. B.; BUENO, R. D.; BLEY, R. F.; SPAGNUOLO, E. S.; ESCOBAR, A. A.; NASCIMENTO, F. C. ; ALVES, M. B. ; OLIVEIRA, D. S. ; MORAIS, W. A. </w:t>
      </w:r>
      <w:r w:rsidRPr="00732AFC">
        <w:rPr>
          <w:b/>
          <w:szCs w:val="20"/>
        </w:rPr>
        <w:t>Equacionamento e quantificação das propriedades mecânicas de barras de aço em conformidade com normas SAE</w:t>
      </w:r>
      <w:r w:rsidRPr="00732AFC">
        <w:rPr>
          <w:szCs w:val="20"/>
        </w:rPr>
        <w:t>. Siderurgia Brasil, v. 13, p. 32-38, 2012. (planilha e artigo disponíveis em: http://www.inda.org.br/interna.php?pagina=propriedade_mecanica &lt;Acesso em 05/02/2015&gt;).</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sidRPr="00732AFC">
        <w:rPr>
          <w:szCs w:val="20"/>
        </w:rPr>
        <w:t xml:space="preserve">GERDAU. </w:t>
      </w:r>
      <w:r w:rsidRPr="00732AFC">
        <w:rPr>
          <w:b/>
          <w:szCs w:val="20"/>
        </w:rPr>
        <w:t>Arames para solda.</w:t>
      </w:r>
      <w:r w:rsidRPr="00732AFC">
        <w:rPr>
          <w:szCs w:val="20"/>
        </w:rPr>
        <w:t xml:space="preserve"> Disponível em: https://www.comercialgerdau.com.br/produtos/download/12_AramesSolda.pdf &lt;Acesso em 05/02/2015&gt;.</w:t>
      </w:r>
      <w:r>
        <w:rPr>
          <w:szCs w:val="20"/>
        </w:rPr>
        <w:t>4</w:t>
      </w:r>
    </w:p>
    <w:p w:rsidR="00892E78" w:rsidRDefault="00892E78" w:rsidP="001238BC">
      <w:pPr>
        <w:autoSpaceDE w:val="0"/>
        <w:autoSpaceDN w:val="0"/>
        <w:adjustRightInd w:val="0"/>
        <w:jc w:val="both"/>
        <w:rPr>
          <w:szCs w:val="20"/>
        </w:rPr>
      </w:pPr>
    </w:p>
    <w:p w:rsidR="00892E78" w:rsidRDefault="00892E78" w:rsidP="001238BC">
      <w:pPr>
        <w:autoSpaceDE w:val="0"/>
        <w:autoSpaceDN w:val="0"/>
        <w:adjustRightInd w:val="0"/>
        <w:jc w:val="both"/>
        <w:rPr>
          <w:szCs w:val="20"/>
        </w:rPr>
      </w:pPr>
      <w:r w:rsidRPr="00732AFC">
        <w:rPr>
          <w:szCs w:val="20"/>
        </w:rPr>
        <w:t xml:space="preserve">GUIA DA SIDERUGIA BRASILEIRA E METAIS NÃO FERROSOS. Disponível em: </w:t>
      </w:r>
      <w:r>
        <w:rPr>
          <w:szCs w:val="20"/>
        </w:rPr>
        <w:t>&lt;</w:t>
      </w:r>
      <w:r w:rsidRPr="00732AFC">
        <w:rPr>
          <w:szCs w:val="20"/>
        </w:rPr>
        <w:t>http://www.guiadasiderurgia.com.br/novogs/Flip/GC_2014/index.html#120</w:t>
      </w:r>
      <w:r>
        <w:rPr>
          <w:szCs w:val="20"/>
        </w:rPr>
        <w:t>&gt; Acesso em 05/02/2015</w:t>
      </w:r>
      <w:r w:rsidRPr="00732AFC">
        <w:rPr>
          <w:szCs w:val="20"/>
        </w:rPr>
        <w:t>. Grip</w:t>
      </w:r>
      <w:r>
        <w:rPr>
          <w:szCs w:val="20"/>
        </w:rPr>
        <w:t>s</w:t>
      </w:r>
      <w:r w:rsidRPr="00732AFC">
        <w:rPr>
          <w:szCs w:val="20"/>
        </w:rPr>
        <w:t xml:space="preserve"> Editora, 2014, p.120-122.</w:t>
      </w:r>
    </w:p>
    <w:p w:rsidR="00892E78" w:rsidRDefault="00892E78" w:rsidP="001238BC">
      <w:pPr>
        <w:autoSpaceDE w:val="0"/>
        <w:autoSpaceDN w:val="0"/>
        <w:adjustRightInd w:val="0"/>
        <w:jc w:val="both"/>
        <w:rPr>
          <w:szCs w:val="20"/>
        </w:rPr>
      </w:pPr>
    </w:p>
    <w:p w:rsidR="00892E78" w:rsidRDefault="00892E78" w:rsidP="00732AFC">
      <w:pPr>
        <w:autoSpaceDE w:val="0"/>
        <w:autoSpaceDN w:val="0"/>
        <w:adjustRightInd w:val="0"/>
        <w:jc w:val="both"/>
        <w:rPr>
          <w:szCs w:val="20"/>
        </w:rPr>
      </w:pPr>
      <w:r w:rsidRPr="00732AFC">
        <w:rPr>
          <w:szCs w:val="20"/>
        </w:rPr>
        <w:t xml:space="preserve">LANCASTER, J. </w:t>
      </w:r>
      <w:r w:rsidRPr="00732AFC">
        <w:rPr>
          <w:b/>
          <w:szCs w:val="20"/>
        </w:rPr>
        <w:t>Handbook of structural welding</w:t>
      </w:r>
      <w:r w:rsidRPr="00732AFC">
        <w:rPr>
          <w:szCs w:val="20"/>
        </w:rPr>
        <w:t>. Cambridge (UK): Abington Hall, 1997. Cap. 2, p. 56-113.</w:t>
      </w:r>
    </w:p>
    <w:p w:rsidR="00892E78" w:rsidRDefault="00892E78" w:rsidP="00732AFC">
      <w:pPr>
        <w:autoSpaceDE w:val="0"/>
        <w:autoSpaceDN w:val="0"/>
        <w:adjustRightInd w:val="0"/>
        <w:jc w:val="both"/>
        <w:rPr>
          <w:szCs w:val="20"/>
        </w:rPr>
      </w:pPr>
    </w:p>
    <w:p w:rsidR="00892E78" w:rsidRDefault="00892E78" w:rsidP="00732AFC">
      <w:pPr>
        <w:autoSpaceDE w:val="0"/>
        <w:autoSpaceDN w:val="0"/>
        <w:adjustRightInd w:val="0"/>
        <w:jc w:val="both"/>
        <w:rPr>
          <w:szCs w:val="20"/>
        </w:rPr>
      </w:pPr>
      <w:r w:rsidRPr="00732AFC">
        <w:rPr>
          <w:szCs w:val="20"/>
        </w:rPr>
        <w:t xml:space="preserve">MODENESI, Paulo J.; MARQUES, Paulo Villani; BRACARENSE, Alexandre Q. </w:t>
      </w:r>
      <w:r w:rsidRPr="00732AFC">
        <w:rPr>
          <w:b/>
          <w:szCs w:val="20"/>
        </w:rPr>
        <w:t>Soldagem Fundamentos e Tecnologia</w:t>
      </w:r>
      <w:r w:rsidRPr="00732AFC">
        <w:rPr>
          <w:szCs w:val="20"/>
        </w:rPr>
        <w:t>. Universidade Federal de Minas Gerais. Departamento de Engenharia Metalúrgica. Belo Horizonte, 2007.</w:t>
      </w:r>
    </w:p>
    <w:p w:rsidR="00892E78" w:rsidRDefault="00892E78" w:rsidP="00732AFC">
      <w:pPr>
        <w:autoSpaceDE w:val="0"/>
        <w:autoSpaceDN w:val="0"/>
        <w:adjustRightInd w:val="0"/>
        <w:jc w:val="both"/>
        <w:rPr>
          <w:szCs w:val="20"/>
        </w:rPr>
      </w:pPr>
    </w:p>
    <w:p w:rsidR="00892E78" w:rsidRPr="00732AFC" w:rsidRDefault="00892E78" w:rsidP="00732AFC">
      <w:pPr>
        <w:autoSpaceDE w:val="0"/>
        <w:autoSpaceDN w:val="0"/>
        <w:adjustRightInd w:val="0"/>
        <w:jc w:val="both"/>
        <w:rPr>
          <w:szCs w:val="20"/>
        </w:rPr>
      </w:pPr>
      <w:r w:rsidRPr="00732AFC">
        <w:rPr>
          <w:szCs w:val="20"/>
        </w:rPr>
        <w:t xml:space="preserve">MORAIS, W. A.; MAGNABOSCO, A. S; NETTO, E. B. M. </w:t>
      </w:r>
      <w:r w:rsidRPr="00732AFC">
        <w:rPr>
          <w:b/>
          <w:szCs w:val="20"/>
        </w:rPr>
        <w:t>Metalurgia física e mecânica aplicada</w:t>
      </w:r>
      <w:r w:rsidRPr="00732AFC">
        <w:rPr>
          <w:szCs w:val="20"/>
        </w:rPr>
        <w:t>. 2. ed. São Paulo: ABM, 2009.</w:t>
      </w:r>
    </w:p>
    <w:sectPr w:rsidR="00892E78" w:rsidRPr="00732AFC" w:rsidSect="00C349A1">
      <w:headerReference w:type="default" r:id="rId22"/>
      <w:footerReference w:type="default" r:id="rId23"/>
      <w:headerReference w:type="first" r:id="rId24"/>
      <w:footerReference w:type="first" r:id="rId25"/>
      <w:pgSz w:w="12240" w:h="15840"/>
      <w:pgMar w:top="1418" w:right="1418" w:bottom="1418"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720E" w:rsidRDefault="000A720E">
      <w:r>
        <w:separator/>
      </w:r>
    </w:p>
  </w:endnote>
  <w:endnote w:type="continuationSeparator" w:id="0">
    <w:p w:rsidR="000A720E" w:rsidRDefault="000A72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Pr="00E94513" w:rsidRDefault="003B7091">
    <w:pPr>
      <w:pStyle w:val="Rodap"/>
      <w:jc w:val="right"/>
      <w:rPr>
        <w:sz w:val="20"/>
        <w:szCs w:val="20"/>
      </w:rPr>
    </w:pPr>
    <w:r w:rsidRPr="00E94513">
      <w:rPr>
        <w:sz w:val="20"/>
        <w:szCs w:val="20"/>
      </w:rPr>
      <w:fldChar w:fldCharType="begin"/>
    </w:r>
    <w:r w:rsidRPr="00E94513">
      <w:rPr>
        <w:sz w:val="20"/>
        <w:szCs w:val="20"/>
      </w:rPr>
      <w:instrText>PAGE   \* MERGEFORMAT</w:instrText>
    </w:r>
    <w:r w:rsidRPr="00E94513">
      <w:rPr>
        <w:sz w:val="20"/>
        <w:szCs w:val="20"/>
      </w:rPr>
      <w:fldChar w:fldCharType="separate"/>
    </w:r>
    <w:r w:rsidR="006619A8">
      <w:rPr>
        <w:noProof/>
        <w:sz w:val="20"/>
        <w:szCs w:val="20"/>
      </w:rPr>
      <w:t>4</w:t>
    </w:r>
    <w:r w:rsidRPr="00E94513">
      <w:rPr>
        <w:sz w:val="20"/>
        <w:szCs w:val="20"/>
      </w:rPr>
      <w:fldChar w:fldCharType="end"/>
    </w:r>
  </w:p>
  <w:p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720E" w:rsidRDefault="000A720E">
      <w:r>
        <w:separator/>
      </w:r>
    </w:p>
  </w:footnote>
  <w:footnote w:type="continuationSeparator" w:id="0">
    <w:p w:rsidR="000A720E" w:rsidRDefault="000A72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66F1" w:rsidRDefault="009166F1">
    <w:pPr>
      <w:pStyle w:val="Cabealho"/>
    </w:pPr>
  </w:p>
  <w:p w:rsidR="003B7091" w:rsidRDefault="003B7091" w:rsidP="00515DF3">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Default="003B7091" w:rsidP="00CB0E98">
    <w:pPr>
      <w:pStyle w:val="Cabealho"/>
      <w:jc w:val="center"/>
    </w:pPr>
  </w:p>
  <w:p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91CFD"/>
    <w:multiLevelType w:val="hybridMultilevel"/>
    <w:tmpl w:val="BE7C31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E13344F"/>
    <w:multiLevelType w:val="hybridMultilevel"/>
    <w:tmpl w:val="1124DA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2C40EB0"/>
    <w:multiLevelType w:val="hybridMultilevel"/>
    <w:tmpl w:val="2E4EBF1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9602281"/>
    <w:multiLevelType w:val="hybridMultilevel"/>
    <w:tmpl w:val="BC34CE4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21630A66"/>
    <w:multiLevelType w:val="hybridMultilevel"/>
    <w:tmpl w:val="4D4E3A8A"/>
    <w:lvl w:ilvl="0" w:tplc="C88055D6">
      <w:start w:val="3"/>
      <w:numFmt w:val="bullet"/>
      <w:lvlText w:val="•"/>
      <w:lvlJc w:val="left"/>
      <w:pPr>
        <w:ind w:left="1413" w:hanging="705"/>
      </w:pPr>
      <w:rPr>
        <w:rFonts w:ascii="Arial" w:eastAsia="Times New Roman" w:hAnsi="Arial" w:cs="Aria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7" w15:restartNumberingAfterBreak="0">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30D5132B"/>
    <w:multiLevelType w:val="hybridMultilevel"/>
    <w:tmpl w:val="B874CA00"/>
    <w:lvl w:ilvl="0" w:tplc="0338F1FA">
      <w:start w:val="1"/>
      <w:numFmt w:val="decimal"/>
      <w:lvlText w:val="%1."/>
      <w:lvlJc w:val="left"/>
      <w:pPr>
        <w:ind w:left="1413" w:hanging="705"/>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9" w15:restartNumberingAfterBreak="0">
    <w:nsid w:val="45F635D7"/>
    <w:multiLevelType w:val="hybridMultilevel"/>
    <w:tmpl w:val="83BE6F5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4B2A3D03"/>
    <w:multiLevelType w:val="hybridMultilevel"/>
    <w:tmpl w:val="D0A6F444"/>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57EF22DD"/>
    <w:multiLevelType w:val="hybridMultilevel"/>
    <w:tmpl w:val="81AAD48A"/>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3" w15:restartNumberingAfterBreak="0">
    <w:nsid w:val="5B4E1207"/>
    <w:multiLevelType w:val="hybridMultilevel"/>
    <w:tmpl w:val="AE36FE4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25D57C4"/>
    <w:multiLevelType w:val="hybridMultilevel"/>
    <w:tmpl w:val="8B58211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5" w15:restartNumberingAfterBreak="0">
    <w:nsid w:val="66411DD4"/>
    <w:multiLevelType w:val="hybridMultilevel"/>
    <w:tmpl w:val="F000E75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71D07862"/>
    <w:multiLevelType w:val="hybridMultilevel"/>
    <w:tmpl w:val="3A0C2CE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16"/>
  </w:num>
  <w:num w:numId="3">
    <w:abstractNumId w:val="11"/>
  </w:num>
  <w:num w:numId="4">
    <w:abstractNumId w:val="7"/>
  </w:num>
  <w:num w:numId="5">
    <w:abstractNumId w:val="2"/>
  </w:num>
  <w:num w:numId="6">
    <w:abstractNumId w:val="17"/>
  </w:num>
  <w:num w:numId="7">
    <w:abstractNumId w:val="15"/>
  </w:num>
  <w:num w:numId="8">
    <w:abstractNumId w:val="10"/>
  </w:num>
  <w:num w:numId="9">
    <w:abstractNumId w:val="9"/>
  </w:num>
  <w:num w:numId="10">
    <w:abstractNumId w:val="0"/>
  </w:num>
  <w:num w:numId="11">
    <w:abstractNumId w:val="5"/>
  </w:num>
  <w:num w:numId="12">
    <w:abstractNumId w:val="3"/>
  </w:num>
  <w:num w:numId="13">
    <w:abstractNumId w:val="13"/>
  </w:num>
  <w:num w:numId="14">
    <w:abstractNumId w:val="4"/>
  </w:num>
  <w:num w:numId="15">
    <w:abstractNumId w:val="18"/>
  </w:num>
  <w:num w:numId="16">
    <w:abstractNumId w:val="12"/>
  </w:num>
  <w:num w:numId="17">
    <w:abstractNumId w:val="8"/>
  </w:num>
  <w:num w:numId="18">
    <w:abstractNumId w:val="14"/>
  </w:num>
  <w:num w:numId="19">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4"/>
  <w:embedSystemFonts/>
  <w:activeWritingStyle w:appName="MSWord" w:lang="pt-BR" w:vendorID="64" w:dllVersion="131078" w:nlCheck="1" w:checkStyle="0"/>
  <w:activeWritingStyle w:appName="MSWord" w:lang="en-US" w:vendorID="64" w:dllVersion="131078" w:nlCheck="1" w:checkStyle="1"/>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CTIVE" w:val="Documento1"/>
    <w:docVar w:name="DocID" w:val="70"/>
    <w:docVar w:name="VTCASE" w:val="4"/>
    <w:docVar w:name="VTCommandPending" w:val="NONE"/>
  </w:docVars>
  <w:rsids>
    <w:rsidRoot w:val="005F5D09"/>
    <w:rsid w:val="0000196C"/>
    <w:rsid w:val="000031EA"/>
    <w:rsid w:val="00003ADC"/>
    <w:rsid w:val="00003B23"/>
    <w:rsid w:val="00005335"/>
    <w:rsid w:val="0001148C"/>
    <w:rsid w:val="00011595"/>
    <w:rsid w:val="00011C86"/>
    <w:rsid w:val="00011D6D"/>
    <w:rsid w:val="00012198"/>
    <w:rsid w:val="00013197"/>
    <w:rsid w:val="0001355C"/>
    <w:rsid w:val="000140E2"/>
    <w:rsid w:val="00014201"/>
    <w:rsid w:val="000144C3"/>
    <w:rsid w:val="00015784"/>
    <w:rsid w:val="00015D22"/>
    <w:rsid w:val="00015EC3"/>
    <w:rsid w:val="0001624D"/>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727B"/>
    <w:rsid w:val="000419B1"/>
    <w:rsid w:val="000420E7"/>
    <w:rsid w:val="00042A43"/>
    <w:rsid w:val="00042C87"/>
    <w:rsid w:val="00043493"/>
    <w:rsid w:val="00043DC4"/>
    <w:rsid w:val="00043F4A"/>
    <w:rsid w:val="000452B0"/>
    <w:rsid w:val="00046167"/>
    <w:rsid w:val="00046465"/>
    <w:rsid w:val="000466F7"/>
    <w:rsid w:val="0004704A"/>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5E"/>
    <w:rsid w:val="000676D3"/>
    <w:rsid w:val="00067966"/>
    <w:rsid w:val="00067A67"/>
    <w:rsid w:val="00067BB4"/>
    <w:rsid w:val="00071072"/>
    <w:rsid w:val="00071480"/>
    <w:rsid w:val="00073856"/>
    <w:rsid w:val="00074C51"/>
    <w:rsid w:val="0007533B"/>
    <w:rsid w:val="00076532"/>
    <w:rsid w:val="000772E7"/>
    <w:rsid w:val="000812C5"/>
    <w:rsid w:val="00081323"/>
    <w:rsid w:val="0008146C"/>
    <w:rsid w:val="00082213"/>
    <w:rsid w:val="000825C9"/>
    <w:rsid w:val="0008260B"/>
    <w:rsid w:val="00083A75"/>
    <w:rsid w:val="000844F1"/>
    <w:rsid w:val="00084B2D"/>
    <w:rsid w:val="000877CC"/>
    <w:rsid w:val="00090B3C"/>
    <w:rsid w:val="00090D3E"/>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838"/>
    <w:rsid w:val="000A4A52"/>
    <w:rsid w:val="000A60B6"/>
    <w:rsid w:val="000A60CF"/>
    <w:rsid w:val="000A720E"/>
    <w:rsid w:val="000B02B7"/>
    <w:rsid w:val="000B1221"/>
    <w:rsid w:val="000B16E5"/>
    <w:rsid w:val="000B223B"/>
    <w:rsid w:val="000B359E"/>
    <w:rsid w:val="000B3819"/>
    <w:rsid w:val="000B386E"/>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4217"/>
    <w:rsid w:val="000D53FC"/>
    <w:rsid w:val="000D5908"/>
    <w:rsid w:val="000D6967"/>
    <w:rsid w:val="000D707F"/>
    <w:rsid w:val="000D70F5"/>
    <w:rsid w:val="000E01CD"/>
    <w:rsid w:val="000E0217"/>
    <w:rsid w:val="000E03C8"/>
    <w:rsid w:val="000E0560"/>
    <w:rsid w:val="000E13A5"/>
    <w:rsid w:val="000E1D05"/>
    <w:rsid w:val="000E1D1F"/>
    <w:rsid w:val="000E38AC"/>
    <w:rsid w:val="000E3CEB"/>
    <w:rsid w:val="000E4357"/>
    <w:rsid w:val="000E7CE7"/>
    <w:rsid w:val="000F11AD"/>
    <w:rsid w:val="000F148A"/>
    <w:rsid w:val="000F2006"/>
    <w:rsid w:val="000F314F"/>
    <w:rsid w:val="000F4165"/>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69D"/>
    <w:rsid w:val="00121A1A"/>
    <w:rsid w:val="00121E68"/>
    <w:rsid w:val="00123070"/>
    <w:rsid w:val="001238BC"/>
    <w:rsid w:val="00123AE5"/>
    <w:rsid w:val="0012420B"/>
    <w:rsid w:val="001276CA"/>
    <w:rsid w:val="00127D0D"/>
    <w:rsid w:val="001311B1"/>
    <w:rsid w:val="00131B86"/>
    <w:rsid w:val="00132C91"/>
    <w:rsid w:val="001334DB"/>
    <w:rsid w:val="00133928"/>
    <w:rsid w:val="00133DBE"/>
    <w:rsid w:val="00134509"/>
    <w:rsid w:val="00135071"/>
    <w:rsid w:val="00135648"/>
    <w:rsid w:val="00135C24"/>
    <w:rsid w:val="00136292"/>
    <w:rsid w:val="00137752"/>
    <w:rsid w:val="00142BB2"/>
    <w:rsid w:val="00144435"/>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0AA3"/>
    <w:rsid w:val="0016188F"/>
    <w:rsid w:val="00162985"/>
    <w:rsid w:val="00162AFB"/>
    <w:rsid w:val="00163580"/>
    <w:rsid w:val="001638FA"/>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79D"/>
    <w:rsid w:val="001A4975"/>
    <w:rsid w:val="001A66C0"/>
    <w:rsid w:val="001A70AD"/>
    <w:rsid w:val="001A79EF"/>
    <w:rsid w:val="001A7CA9"/>
    <w:rsid w:val="001B2838"/>
    <w:rsid w:val="001B386B"/>
    <w:rsid w:val="001B52B9"/>
    <w:rsid w:val="001B587C"/>
    <w:rsid w:val="001B6769"/>
    <w:rsid w:val="001B6D57"/>
    <w:rsid w:val="001B775A"/>
    <w:rsid w:val="001C0A01"/>
    <w:rsid w:val="001C0D5A"/>
    <w:rsid w:val="001C176E"/>
    <w:rsid w:val="001C24E7"/>
    <w:rsid w:val="001C2AFE"/>
    <w:rsid w:val="001C36AA"/>
    <w:rsid w:val="001C426C"/>
    <w:rsid w:val="001C4C52"/>
    <w:rsid w:val="001C5136"/>
    <w:rsid w:val="001C60D5"/>
    <w:rsid w:val="001C738B"/>
    <w:rsid w:val="001C753C"/>
    <w:rsid w:val="001C78D5"/>
    <w:rsid w:val="001C7D77"/>
    <w:rsid w:val="001D0088"/>
    <w:rsid w:val="001D0634"/>
    <w:rsid w:val="001D120B"/>
    <w:rsid w:val="001D27B5"/>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424"/>
    <w:rsid w:val="00200EFA"/>
    <w:rsid w:val="00200F14"/>
    <w:rsid w:val="002013F0"/>
    <w:rsid w:val="0020199E"/>
    <w:rsid w:val="00201A2A"/>
    <w:rsid w:val="00201C20"/>
    <w:rsid w:val="00202A18"/>
    <w:rsid w:val="00202BAE"/>
    <w:rsid w:val="00202BFC"/>
    <w:rsid w:val="00202EA3"/>
    <w:rsid w:val="00203DB5"/>
    <w:rsid w:val="00203E0A"/>
    <w:rsid w:val="00205617"/>
    <w:rsid w:val="00205AF9"/>
    <w:rsid w:val="00206166"/>
    <w:rsid w:val="00206C09"/>
    <w:rsid w:val="00206C2D"/>
    <w:rsid w:val="00207404"/>
    <w:rsid w:val="0021093B"/>
    <w:rsid w:val="002162E7"/>
    <w:rsid w:val="00216925"/>
    <w:rsid w:val="002202C4"/>
    <w:rsid w:val="002204C9"/>
    <w:rsid w:val="00221288"/>
    <w:rsid w:val="002218A0"/>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723E"/>
    <w:rsid w:val="00247E91"/>
    <w:rsid w:val="00247ED2"/>
    <w:rsid w:val="002511B9"/>
    <w:rsid w:val="00251341"/>
    <w:rsid w:val="00252222"/>
    <w:rsid w:val="00252EE9"/>
    <w:rsid w:val="00254C09"/>
    <w:rsid w:val="00254EFE"/>
    <w:rsid w:val="00255C1F"/>
    <w:rsid w:val="002561EE"/>
    <w:rsid w:val="0025692B"/>
    <w:rsid w:val="00256D2D"/>
    <w:rsid w:val="002578F5"/>
    <w:rsid w:val="0026313B"/>
    <w:rsid w:val="00264614"/>
    <w:rsid w:val="00266E97"/>
    <w:rsid w:val="00267A3F"/>
    <w:rsid w:val="00270AC0"/>
    <w:rsid w:val="00274BA2"/>
    <w:rsid w:val="00275410"/>
    <w:rsid w:val="00275DCF"/>
    <w:rsid w:val="00277CB8"/>
    <w:rsid w:val="00280D95"/>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EFA"/>
    <w:rsid w:val="002B0905"/>
    <w:rsid w:val="002B1298"/>
    <w:rsid w:val="002B16CE"/>
    <w:rsid w:val="002B1FA0"/>
    <w:rsid w:val="002B2611"/>
    <w:rsid w:val="002B40A4"/>
    <w:rsid w:val="002B4CC8"/>
    <w:rsid w:val="002B4EEF"/>
    <w:rsid w:val="002B59D4"/>
    <w:rsid w:val="002B5ABE"/>
    <w:rsid w:val="002B7E4E"/>
    <w:rsid w:val="002C1F37"/>
    <w:rsid w:val="002C2385"/>
    <w:rsid w:val="002C2B07"/>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3207"/>
    <w:rsid w:val="002D3413"/>
    <w:rsid w:val="002D34E7"/>
    <w:rsid w:val="002D4847"/>
    <w:rsid w:val="002D4B46"/>
    <w:rsid w:val="002D51C8"/>
    <w:rsid w:val="002D591D"/>
    <w:rsid w:val="002D5B48"/>
    <w:rsid w:val="002D721C"/>
    <w:rsid w:val="002D72A3"/>
    <w:rsid w:val="002D7E54"/>
    <w:rsid w:val="002E07D4"/>
    <w:rsid w:val="002E2025"/>
    <w:rsid w:val="002E2619"/>
    <w:rsid w:val="002E3533"/>
    <w:rsid w:val="002E4E9E"/>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1E0C"/>
    <w:rsid w:val="003022A7"/>
    <w:rsid w:val="00302ECB"/>
    <w:rsid w:val="00303530"/>
    <w:rsid w:val="003040C7"/>
    <w:rsid w:val="00304107"/>
    <w:rsid w:val="003048B4"/>
    <w:rsid w:val="003065CB"/>
    <w:rsid w:val="003067FC"/>
    <w:rsid w:val="00307233"/>
    <w:rsid w:val="00307577"/>
    <w:rsid w:val="003079C2"/>
    <w:rsid w:val="00307F4C"/>
    <w:rsid w:val="003105C6"/>
    <w:rsid w:val="003138A5"/>
    <w:rsid w:val="00314B45"/>
    <w:rsid w:val="0032190A"/>
    <w:rsid w:val="0032193C"/>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D77"/>
    <w:rsid w:val="00351098"/>
    <w:rsid w:val="0035156F"/>
    <w:rsid w:val="003515EF"/>
    <w:rsid w:val="00353B6A"/>
    <w:rsid w:val="003540F4"/>
    <w:rsid w:val="00354837"/>
    <w:rsid w:val="003549E0"/>
    <w:rsid w:val="00355811"/>
    <w:rsid w:val="003558B4"/>
    <w:rsid w:val="003558E9"/>
    <w:rsid w:val="00355ECD"/>
    <w:rsid w:val="003567C0"/>
    <w:rsid w:val="00357329"/>
    <w:rsid w:val="00357C35"/>
    <w:rsid w:val="0036112C"/>
    <w:rsid w:val="00361451"/>
    <w:rsid w:val="0036156C"/>
    <w:rsid w:val="0036184D"/>
    <w:rsid w:val="00361A0C"/>
    <w:rsid w:val="00361D80"/>
    <w:rsid w:val="00363C55"/>
    <w:rsid w:val="00363D91"/>
    <w:rsid w:val="0036558E"/>
    <w:rsid w:val="00366254"/>
    <w:rsid w:val="003675A8"/>
    <w:rsid w:val="00367652"/>
    <w:rsid w:val="00370CC1"/>
    <w:rsid w:val="003719F9"/>
    <w:rsid w:val="00372B96"/>
    <w:rsid w:val="00373A48"/>
    <w:rsid w:val="00373B9D"/>
    <w:rsid w:val="0037446A"/>
    <w:rsid w:val="003744EB"/>
    <w:rsid w:val="00376D6E"/>
    <w:rsid w:val="00376EF6"/>
    <w:rsid w:val="00377282"/>
    <w:rsid w:val="00380881"/>
    <w:rsid w:val="00384C69"/>
    <w:rsid w:val="0038522F"/>
    <w:rsid w:val="00385DBF"/>
    <w:rsid w:val="003868E5"/>
    <w:rsid w:val="003914D0"/>
    <w:rsid w:val="0039159E"/>
    <w:rsid w:val="003919E1"/>
    <w:rsid w:val="00392AEE"/>
    <w:rsid w:val="00393BFA"/>
    <w:rsid w:val="00394EB1"/>
    <w:rsid w:val="00397518"/>
    <w:rsid w:val="003A061B"/>
    <w:rsid w:val="003A112B"/>
    <w:rsid w:val="003A13C5"/>
    <w:rsid w:val="003A13D1"/>
    <w:rsid w:val="003A1B6C"/>
    <w:rsid w:val="003A2049"/>
    <w:rsid w:val="003A28B8"/>
    <w:rsid w:val="003A2C47"/>
    <w:rsid w:val="003A46E3"/>
    <w:rsid w:val="003A51F7"/>
    <w:rsid w:val="003A582C"/>
    <w:rsid w:val="003A6361"/>
    <w:rsid w:val="003B1C5A"/>
    <w:rsid w:val="003B24CF"/>
    <w:rsid w:val="003B52DB"/>
    <w:rsid w:val="003B5CF8"/>
    <w:rsid w:val="003B629B"/>
    <w:rsid w:val="003B68FB"/>
    <w:rsid w:val="003B6B36"/>
    <w:rsid w:val="003B7091"/>
    <w:rsid w:val="003B77EC"/>
    <w:rsid w:val="003C288B"/>
    <w:rsid w:val="003C2D2C"/>
    <w:rsid w:val="003C34E1"/>
    <w:rsid w:val="003C453F"/>
    <w:rsid w:val="003C52E7"/>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77F3"/>
    <w:rsid w:val="0040008E"/>
    <w:rsid w:val="004004B5"/>
    <w:rsid w:val="00401FDF"/>
    <w:rsid w:val="004023DA"/>
    <w:rsid w:val="00402EFF"/>
    <w:rsid w:val="004041DE"/>
    <w:rsid w:val="00404890"/>
    <w:rsid w:val="00405031"/>
    <w:rsid w:val="004051FB"/>
    <w:rsid w:val="00406811"/>
    <w:rsid w:val="0041076D"/>
    <w:rsid w:val="004112FC"/>
    <w:rsid w:val="00411660"/>
    <w:rsid w:val="004124E6"/>
    <w:rsid w:val="00413002"/>
    <w:rsid w:val="004146B6"/>
    <w:rsid w:val="0041530A"/>
    <w:rsid w:val="00415976"/>
    <w:rsid w:val="00416C8A"/>
    <w:rsid w:val="00416DB0"/>
    <w:rsid w:val="00416DBF"/>
    <w:rsid w:val="00416E40"/>
    <w:rsid w:val="00417D06"/>
    <w:rsid w:val="0042126B"/>
    <w:rsid w:val="00421879"/>
    <w:rsid w:val="00422618"/>
    <w:rsid w:val="00422E6F"/>
    <w:rsid w:val="004232B1"/>
    <w:rsid w:val="00424D4C"/>
    <w:rsid w:val="00432468"/>
    <w:rsid w:val="004324BB"/>
    <w:rsid w:val="00432DDE"/>
    <w:rsid w:val="0043333C"/>
    <w:rsid w:val="004343DC"/>
    <w:rsid w:val="00434D1B"/>
    <w:rsid w:val="00434E6C"/>
    <w:rsid w:val="00435D03"/>
    <w:rsid w:val="0043655E"/>
    <w:rsid w:val="00436E7E"/>
    <w:rsid w:val="00437251"/>
    <w:rsid w:val="00437CC1"/>
    <w:rsid w:val="00441089"/>
    <w:rsid w:val="004415D9"/>
    <w:rsid w:val="004416DC"/>
    <w:rsid w:val="00441830"/>
    <w:rsid w:val="00442651"/>
    <w:rsid w:val="0044427B"/>
    <w:rsid w:val="00444E99"/>
    <w:rsid w:val="00446949"/>
    <w:rsid w:val="00447132"/>
    <w:rsid w:val="004473EF"/>
    <w:rsid w:val="0044777A"/>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27D1"/>
    <w:rsid w:val="004B3D12"/>
    <w:rsid w:val="004B3E61"/>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B42"/>
    <w:rsid w:val="004D2645"/>
    <w:rsid w:val="004D29E7"/>
    <w:rsid w:val="004D2F65"/>
    <w:rsid w:val="004D32F4"/>
    <w:rsid w:val="004D3664"/>
    <w:rsid w:val="004D40CA"/>
    <w:rsid w:val="004D41E9"/>
    <w:rsid w:val="004D552B"/>
    <w:rsid w:val="004D5F99"/>
    <w:rsid w:val="004D67C1"/>
    <w:rsid w:val="004D696B"/>
    <w:rsid w:val="004D791E"/>
    <w:rsid w:val="004E0744"/>
    <w:rsid w:val="004E0E6A"/>
    <w:rsid w:val="004E15F4"/>
    <w:rsid w:val="004E1C75"/>
    <w:rsid w:val="004E2B1B"/>
    <w:rsid w:val="004E6204"/>
    <w:rsid w:val="004E6A15"/>
    <w:rsid w:val="004E789A"/>
    <w:rsid w:val="004E7F22"/>
    <w:rsid w:val="004F0326"/>
    <w:rsid w:val="004F0E1E"/>
    <w:rsid w:val="004F1B78"/>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10984"/>
    <w:rsid w:val="00510E19"/>
    <w:rsid w:val="005124D5"/>
    <w:rsid w:val="00513662"/>
    <w:rsid w:val="00513938"/>
    <w:rsid w:val="005143D4"/>
    <w:rsid w:val="00515AC5"/>
    <w:rsid w:val="00515DF3"/>
    <w:rsid w:val="00516530"/>
    <w:rsid w:val="00516B8F"/>
    <w:rsid w:val="00517861"/>
    <w:rsid w:val="00520A6B"/>
    <w:rsid w:val="005219D6"/>
    <w:rsid w:val="0052276F"/>
    <w:rsid w:val="00523104"/>
    <w:rsid w:val="005242B6"/>
    <w:rsid w:val="005260E0"/>
    <w:rsid w:val="005267F6"/>
    <w:rsid w:val="005269AA"/>
    <w:rsid w:val="00527114"/>
    <w:rsid w:val="00527D04"/>
    <w:rsid w:val="00527F39"/>
    <w:rsid w:val="005321B8"/>
    <w:rsid w:val="00532540"/>
    <w:rsid w:val="00532638"/>
    <w:rsid w:val="00532655"/>
    <w:rsid w:val="00534082"/>
    <w:rsid w:val="005356EC"/>
    <w:rsid w:val="00535E57"/>
    <w:rsid w:val="005372A9"/>
    <w:rsid w:val="005376CF"/>
    <w:rsid w:val="00540474"/>
    <w:rsid w:val="00540D09"/>
    <w:rsid w:val="00540F3E"/>
    <w:rsid w:val="00541821"/>
    <w:rsid w:val="005426DD"/>
    <w:rsid w:val="00542AA0"/>
    <w:rsid w:val="00543156"/>
    <w:rsid w:val="00543CE0"/>
    <w:rsid w:val="00545FA8"/>
    <w:rsid w:val="00546B65"/>
    <w:rsid w:val="0055041C"/>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7609"/>
    <w:rsid w:val="00587A64"/>
    <w:rsid w:val="0059039A"/>
    <w:rsid w:val="0059056B"/>
    <w:rsid w:val="005907C5"/>
    <w:rsid w:val="00590EC2"/>
    <w:rsid w:val="0059103C"/>
    <w:rsid w:val="005928EB"/>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0FCB"/>
    <w:rsid w:val="005B11FA"/>
    <w:rsid w:val="005B13C1"/>
    <w:rsid w:val="005B1C56"/>
    <w:rsid w:val="005B1FCA"/>
    <w:rsid w:val="005B237B"/>
    <w:rsid w:val="005B248E"/>
    <w:rsid w:val="005B2F38"/>
    <w:rsid w:val="005B4893"/>
    <w:rsid w:val="005B5415"/>
    <w:rsid w:val="005B6156"/>
    <w:rsid w:val="005B7E20"/>
    <w:rsid w:val="005C00CB"/>
    <w:rsid w:val="005C1403"/>
    <w:rsid w:val="005C1DD2"/>
    <w:rsid w:val="005C51C4"/>
    <w:rsid w:val="005C5316"/>
    <w:rsid w:val="005C6045"/>
    <w:rsid w:val="005C6CC1"/>
    <w:rsid w:val="005C7EC2"/>
    <w:rsid w:val="005D0851"/>
    <w:rsid w:val="005D172A"/>
    <w:rsid w:val="005D1C22"/>
    <w:rsid w:val="005D2C3C"/>
    <w:rsid w:val="005D2DDF"/>
    <w:rsid w:val="005D3AB6"/>
    <w:rsid w:val="005D451E"/>
    <w:rsid w:val="005D4650"/>
    <w:rsid w:val="005D4AA6"/>
    <w:rsid w:val="005D5C84"/>
    <w:rsid w:val="005D6109"/>
    <w:rsid w:val="005E2BD1"/>
    <w:rsid w:val="005E3DA9"/>
    <w:rsid w:val="005E40D0"/>
    <w:rsid w:val="005E6401"/>
    <w:rsid w:val="005E65C9"/>
    <w:rsid w:val="005E712B"/>
    <w:rsid w:val="005E7884"/>
    <w:rsid w:val="005F013A"/>
    <w:rsid w:val="005F1D34"/>
    <w:rsid w:val="005F20C6"/>
    <w:rsid w:val="005F2FCC"/>
    <w:rsid w:val="005F302C"/>
    <w:rsid w:val="005F38B0"/>
    <w:rsid w:val="005F38B5"/>
    <w:rsid w:val="005F3E4D"/>
    <w:rsid w:val="005F47A9"/>
    <w:rsid w:val="005F5D09"/>
    <w:rsid w:val="005F6F8F"/>
    <w:rsid w:val="00600CC1"/>
    <w:rsid w:val="00601AF5"/>
    <w:rsid w:val="006021C6"/>
    <w:rsid w:val="0060277A"/>
    <w:rsid w:val="00602BAA"/>
    <w:rsid w:val="00604161"/>
    <w:rsid w:val="0060425E"/>
    <w:rsid w:val="00604733"/>
    <w:rsid w:val="00604AAF"/>
    <w:rsid w:val="00604B50"/>
    <w:rsid w:val="0060626D"/>
    <w:rsid w:val="006066FB"/>
    <w:rsid w:val="00607548"/>
    <w:rsid w:val="00610EA7"/>
    <w:rsid w:val="006111E4"/>
    <w:rsid w:val="0061122C"/>
    <w:rsid w:val="006119CD"/>
    <w:rsid w:val="00611AF9"/>
    <w:rsid w:val="0061284C"/>
    <w:rsid w:val="006133D9"/>
    <w:rsid w:val="0061440C"/>
    <w:rsid w:val="00615775"/>
    <w:rsid w:val="00616899"/>
    <w:rsid w:val="006168FD"/>
    <w:rsid w:val="006174D0"/>
    <w:rsid w:val="006201AD"/>
    <w:rsid w:val="00620C1F"/>
    <w:rsid w:val="00625B8B"/>
    <w:rsid w:val="00625C16"/>
    <w:rsid w:val="0062606B"/>
    <w:rsid w:val="006267D5"/>
    <w:rsid w:val="00626AA0"/>
    <w:rsid w:val="00626F0E"/>
    <w:rsid w:val="00627EE9"/>
    <w:rsid w:val="006303E2"/>
    <w:rsid w:val="006310AF"/>
    <w:rsid w:val="00631B5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4E1B"/>
    <w:rsid w:val="006553CD"/>
    <w:rsid w:val="006554E0"/>
    <w:rsid w:val="0065778E"/>
    <w:rsid w:val="006604DA"/>
    <w:rsid w:val="006619A8"/>
    <w:rsid w:val="00661DEC"/>
    <w:rsid w:val="00662304"/>
    <w:rsid w:val="0066336E"/>
    <w:rsid w:val="0066456B"/>
    <w:rsid w:val="0066752A"/>
    <w:rsid w:val="0067042C"/>
    <w:rsid w:val="00671957"/>
    <w:rsid w:val="00671B99"/>
    <w:rsid w:val="00672408"/>
    <w:rsid w:val="00673999"/>
    <w:rsid w:val="00673B44"/>
    <w:rsid w:val="00675BFF"/>
    <w:rsid w:val="00675CDE"/>
    <w:rsid w:val="0067675E"/>
    <w:rsid w:val="00676766"/>
    <w:rsid w:val="00676CB9"/>
    <w:rsid w:val="00677361"/>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56E4"/>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684"/>
    <w:rsid w:val="006B56EA"/>
    <w:rsid w:val="006C0EDE"/>
    <w:rsid w:val="006C107D"/>
    <w:rsid w:val="006C2EAD"/>
    <w:rsid w:val="006C30FF"/>
    <w:rsid w:val="006C3196"/>
    <w:rsid w:val="006C37D0"/>
    <w:rsid w:val="006C383F"/>
    <w:rsid w:val="006C4F74"/>
    <w:rsid w:val="006C5BC0"/>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76B8"/>
    <w:rsid w:val="006F7FAE"/>
    <w:rsid w:val="00700A94"/>
    <w:rsid w:val="00700FE1"/>
    <w:rsid w:val="007014E7"/>
    <w:rsid w:val="00702A31"/>
    <w:rsid w:val="007039CF"/>
    <w:rsid w:val="00703F6C"/>
    <w:rsid w:val="00704059"/>
    <w:rsid w:val="00705AA9"/>
    <w:rsid w:val="00705C7F"/>
    <w:rsid w:val="0070633C"/>
    <w:rsid w:val="0070711B"/>
    <w:rsid w:val="00710401"/>
    <w:rsid w:val="00711761"/>
    <w:rsid w:val="00711AF3"/>
    <w:rsid w:val="00711DCB"/>
    <w:rsid w:val="00712D74"/>
    <w:rsid w:val="00714B1F"/>
    <w:rsid w:val="00715580"/>
    <w:rsid w:val="0071583D"/>
    <w:rsid w:val="00715CFE"/>
    <w:rsid w:val="007166C3"/>
    <w:rsid w:val="00717EAC"/>
    <w:rsid w:val="00721F25"/>
    <w:rsid w:val="00722B9A"/>
    <w:rsid w:val="00724075"/>
    <w:rsid w:val="00725FB7"/>
    <w:rsid w:val="007266FF"/>
    <w:rsid w:val="00726FFC"/>
    <w:rsid w:val="00730D14"/>
    <w:rsid w:val="007324C9"/>
    <w:rsid w:val="00732AFC"/>
    <w:rsid w:val="00733863"/>
    <w:rsid w:val="00733E87"/>
    <w:rsid w:val="00734027"/>
    <w:rsid w:val="0073429A"/>
    <w:rsid w:val="00735F9B"/>
    <w:rsid w:val="007362FE"/>
    <w:rsid w:val="0073707B"/>
    <w:rsid w:val="007407DC"/>
    <w:rsid w:val="007407E9"/>
    <w:rsid w:val="00740C4F"/>
    <w:rsid w:val="007414A2"/>
    <w:rsid w:val="007415E9"/>
    <w:rsid w:val="00741A25"/>
    <w:rsid w:val="00741D9E"/>
    <w:rsid w:val="007425F5"/>
    <w:rsid w:val="0074333E"/>
    <w:rsid w:val="0074454E"/>
    <w:rsid w:val="00746AF6"/>
    <w:rsid w:val="00747D93"/>
    <w:rsid w:val="007508A9"/>
    <w:rsid w:val="007519E0"/>
    <w:rsid w:val="00751BF9"/>
    <w:rsid w:val="00751D7B"/>
    <w:rsid w:val="00752364"/>
    <w:rsid w:val="00753AFF"/>
    <w:rsid w:val="00756286"/>
    <w:rsid w:val="00756404"/>
    <w:rsid w:val="0075792B"/>
    <w:rsid w:val="00757A83"/>
    <w:rsid w:val="00757DB1"/>
    <w:rsid w:val="007606C2"/>
    <w:rsid w:val="00760E8F"/>
    <w:rsid w:val="007619B5"/>
    <w:rsid w:val="00761C58"/>
    <w:rsid w:val="00762DBF"/>
    <w:rsid w:val="00763551"/>
    <w:rsid w:val="00763EA4"/>
    <w:rsid w:val="007669E6"/>
    <w:rsid w:val="007675CF"/>
    <w:rsid w:val="00772E03"/>
    <w:rsid w:val="00772F82"/>
    <w:rsid w:val="00773E91"/>
    <w:rsid w:val="00773FB6"/>
    <w:rsid w:val="00775DCA"/>
    <w:rsid w:val="00777309"/>
    <w:rsid w:val="007776CF"/>
    <w:rsid w:val="0077789E"/>
    <w:rsid w:val="00780AEC"/>
    <w:rsid w:val="00780FA2"/>
    <w:rsid w:val="0078120F"/>
    <w:rsid w:val="00782050"/>
    <w:rsid w:val="00784825"/>
    <w:rsid w:val="007858B2"/>
    <w:rsid w:val="00785984"/>
    <w:rsid w:val="00786685"/>
    <w:rsid w:val="0079026E"/>
    <w:rsid w:val="00794854"/>
    <w:rsid w:val="007949DA"/>
    <w:rsid w:val="00794DBD"/>
    <w:rsid w:val="00795713"/>
    <w:rsid w:val="007962C6"/>
    <w:rsid w:val="007A0071"/>
    <w:rsid w:val="007A113C"/>
    <w:rsid w:val="007A1946"/>
    <w:rsid w:val="007A1969"/>
    <w:rsid w:val="007A1FA5"/>
    <w:rsid w:val="007A314B"/>
    <w:rsid w:val="007A4265"/>
    <w:rsid w:val="007A58A8"/>
    <w:rsid w:val="007A63B5"/>
    <w:rsid w:val="007A65B9"/>
    <w:rsid w:val="007A7217"/>
    <w:rsid w:val="007B0DA9"/>
    <w:rsid w:val="007B146B"/>
    <w:rsid w:val="007B3468"/>
    <w:rsid w:val="007B4FE3"/>
    <w:rsid w:val="007B4FE8"/>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549E"/>
    <w:rsid w:val="007E58E1"/>
    <w:rsid w:val="007E7557"/>
    <w:rsid w:val="007F0E38"/>
    <w:rsid w:val="007F1907"/>
    <w:rsid w:val="007F1E62"/>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611"/>
    <w:rsid w:val="00814878"/>
    <w:rsid w:val="0081493D"/>
    <w:rsid w:val="00815C45"/>
    <w:rsid w:val="008167C5"/>
    <w:rsid w:val="00816C05"/>
    <w:rsid w:val="008201FF"/>
    <w:rsid w:val="00820A63"/>
    <w:rsid w:val="00820F51"/>
    <w:rsid w:val="00821131"/>
    <w:rsid w:val="00822C51"/>
    <w:rsid w:val="00823DFF"/>
    <w:rsid w:val="00824344"/>
    <w:rsid w:val="008245AC"/>
    <w:rsid w:val="0082492E"/>
    <w:rsid w:val="0082507C"/>
    <w:rsid w:val="0082762F"/>
    <w:rsid w:val="00827820"/>
    <w:rsid w:val="00827EC9"/>
    <w:rsid w:val="00830EA5"/>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0A7E"/>
    <w:rsid w:val="008516B8"/>
    <w:rsid w:val="008522A4"/>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26A"/>
    <w:rsid w:val="00865C9C"/>
    <w:rsid w:val="00865F18"/>
    <w:rsid w:val="00866A18"/>
    <w:rsid w:val="00866E3D"/>
    <w:rsid w:val="00870258"/>
    <w:rsid w:val="00870635"/>
    <w:rsid w:val="00870DE4"/>
    <w:rsid w:val="00871217"/>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C6"/>
    <w:rsid w:val="00892E78"/>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D6E"/>
    <w:rsid w:val="008D32F4"/>
    <w:rsid w:val="008D3E8A"/>
    <w:rsid w:val="008D4678"/>
    <w:rsid w:val="008D519D"/>
    <w:rsid w:val="008D541D"/>
    <w:rsid w:val="008D61FA"/>
    <w:rsid w:val="008D7106"/>
    <w:rsid w:val="008E0F6D"/>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90013B"/>
    <w:rsid w:val="00901501"/>
    <w:rsid w:val="009018C1"/>
    <w:rsid w:val="00901C9A"/>
    <w:rsid w:val="00902940"/>
    <w:rsid w:val="00903958"/>
    <w:rsid w:val="009049FA"/>
    <w:rsid w:val="009063A4"/>
    <w:rsid w:val="00906C69"/>
    <w:rsid w:val="00907C80"/>
    <w:rsid w:val="00907FAB"/>
    <w:rsid w:val="00910CC6"/>
    <w:rsid w:val="00912CA9"/>
    <w:rsid w:val="009153A1"/>
    <w:rsid w:val="009157A7"/>
    <w:rsid w:val="00915EDC"/>
    <w:rsid w:val="009166F1"/>
    <w:rsid w:val="00916B28"/>
    <w:rsid w:val="00917024"/>
    <w:rsid w:val="009170A9"/>
    <w:rsid w:val="0091711A"/>
    <w:rsid w:val="00921B9A"/>
    <w:rsid w:val="0092270F"/>
    <w:rsid w:val="00925752"/>
    <w:rsid w:val="00925C2F"/>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955"/>
    <w:rsid w:val="0096347E"/>
    <w:rsid w:val="0096448A"/>
    <w:rsid w:val="00964D2B"/>
    <w:rsid w:val="0096607A"/>
    <w:rsid w:val="009668F8"/>
    <w:rsid w:val="00967174"/>
    <w:rsid w:val="00967351"/>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B07"/>
    <w:rsid w:val="00990208"/>
    <w:rsid w:val="00991828"/>
    <w:rsid w:val="00991DB2"/>
    <w:rsid w:val="00992FC5"/>
    <w:rsid w:val="0099345A"/>
    <w:rsid w:val="009939BB"/>
    <w:rsid w:val="009945E4"/>
    <w:rsid w:val="00994626"/>
    <w:rsid w:val="00994DC1"/>
    <w:rsid w:val="0099669C"/>
    <w:rsid w:val="00997BC5"/>
    <w:rsid w:val="00997F92"/>
    <w:rsid w:val="009A0EA0"/>
    <w:rsid w:val="009A17BC"/>
    <w:rsid w:val="009A3AC4"/>
    <w:rsid w:val="009A432B"/>
    <w:rsid w:val="009A539B"/>
    <w:rsid w:val="009A587D"/>
    <w:rsid w:val="009A6474"/>
    <w:rsid w:val="009A7841"/>
    <w:rsid w:val="009A787D"/>
    <w:rsid w:val="009A7B58"/>
    <w:rsid w:val="009B0210"/>
    <w:rsid w:val="009B04AD"/>
    <w:rsid w:val="009B13D6"/>
    <w:rsid w:val="009B1DCD"/>
    <w:rsid w:val="009B21D1"/>
    <w:rsid w:val="009B21ED"/>
    <w:rsid w:val="009B2A2C"/>
    <w:rsid w:val="009B2D0F"/>
    <w:rsid w:val="009B366C"/>
    <w:rsid w:val="009B54C9"/>
    <w:rsid w:val="009B5B53"/>
    <w:rsid w:val="009B5B55"/>
    <w:rsid w:val="009B640B"/>
    <w:rsid w:val="009C0235"/>
    <w:rsid w:val="009C1680"/>
    <w:rsid w:val="009C1B78"/>
    <w:rsid w:val="009C1FDC"/>
    <w:rsid w:val="009C3A8B"/>
    <w:rsid w:val="009C52FF"/>
    <w:rsid w:val="009C64DC"/>
    <w:rsid w:val="009D01D4"/>
    <w:rsid w:val="009D11D5"/>
    <w:rsid w:val="009D2E52"/>
    <w:rsid w:val="009D2F13"/>
    <w:rsid w:val="009D35C6"/>
    <w:rsid w:val="009D40B9"/>
    <w:rsid w:val="009D5B39"/>
    <w:rsid w:val="009D69DB"/>
    <w:rsid w:val="009D71BD"/>
    <w:rsid w:val="009D71CF"/>
    <w:rsid w:val="009D7810"/>
    <w:rsid w:val="009D7A2C"/>
    <w:rsid w:val="009D7C79"/>
    <w:rsid w:val="009E0D44"/>
    <w:rsid w:val="009E0E35"/>
    <w:rsid w:val="009E191A"/>
    <w:rsid w:val="009E282D"/>
    <w:rsid w:val="009E4848"/>
    <w:rsid w:val="009E53F2"/>
    <w:rsid w:val="009E64A2"/>
    <w:rsid w:val="009E7F8A"/>
    <w:rsid w:val="009F051A"/>
    <w:rsid w:val="009F121E"/>
    <w:rsid w:val="009F241C"/>
    <w:rsid w:val="009F2E52"/>
    <w:rsid w:val="009F32D0"/>
    <w:rsid w:val="009F3E57"/>
    <w:rsid w:val="009F5998"/>
    <w:rsid w:val="009F5E68"/>
    <w:rsid w:val="009F617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59A"/>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40F7"/>
    <w:rsid w:val="00A45057"/>
    <w:rsid w:val="00A459BE"/>
    <w:rsid w:val="00A45C75"/>
    <w:rsid w:val="00A45E8A"/>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F16"/>
    <w:rsid w:val="00A60694"/>
    <w:rsid w:val="00A608D6"/>
    <w:rsid w:val="00A60C3E"/>
    <w:rsid w:val="00A6154B"/>
    <w:rsid w:val="00A61A08"/>
    <w:rsid w:val="00A61BB7"/>
    <w:rsid w:val="00A62550"/>
    <w:rsid w:val="00A62CD6"/>
    <w:rsid w:val="00A63AA2"/>
    <w:rsid w:val="00A64B12"/>
    <w:rsid w:val="00A6590F"/>
    <w:rsid w:val="00A661FC"/>
    <w:rsid w:val="00A66558"/>
    <w:rsid w:val="00A67C47"/>
    <w:rsid w:val="00A704A2"/>
    <w:rsid w:val="00A71247"/>
    <w:rsid w:val="00A746CC"/>
    <w:rsid w:val="00A75041"/>
    <w:rsid w:val="00A75277"/>
    <w:rsid w:val="00A761F7"/>
    <w:rsid w:val="00A76497"/>
    <w:rsid w:val="00A76565"/>
    <w:rsid w:val="00A76B72"/>
    <w:rsid w:val="00A76DF1"/>
    <w:rsid w:val="00A776A7"/>
    <w:rsid w:val="00A77A64"/>
    <w:rsid w:val="00A807DD"/>
    <w:rsid w:val="00A80A81"/>
    <w:rsid w:val="00A80C6E"/>
    <w:rsid w:val="00A81BE4"/>
    <w:rsid w:val="00A82BB3"/>
    <w:rsid w:val="00A831B5"/>
    <w:rsid w:val="00A83A02"/>
    <w:rsid w:val="00A83B8D"/>
    <w:rsid w:val="00A849AB"/>
    <w:rsid w:val="00A8696D"/>
    <w:rsid w:val="00A86AB7"/>
    <w:rsid w:val="00A87BFC"/>
    <w:rsid w:val="00A907A7"/>
    <w:rsid w:val="00A9114A"/>
    <w:rsid w:val="00A917FA"/>
    <w:rsid w:val="00A91B9A"/>
    <w:rsid w:val="00A91E8B"/>
    <w:rsid w:val="00A92503"/>
    <w:rsid w:val="00A92EDE"/>
    <w:rsid w:val="00A93AC5"/>
    <w:rsid w:val="00A93F3E"/>
    <w:rsid w:val="00A9414E"/>
    <w:rsid w:val="00A94194"/>
    <w:rsid w:val="00A9426C"/>
    <w:rsid w:val="00A94E25"/>
    <w:rsid w:val="00A94E51"/>
    <w:rsid w:val="00A95325"/>
    <w:rsid w:val="00A95C51"/>
    <w:rsid w:val="00A96247"/>
    <w:rsid w:val="00A97B95"/>
    <w:rsid w:val="00AA028E"/>
    <w:rsid w:val="00AA0F35"/>
    <w:rsid w:val="00AA1FC8"/>
    <w:rsid w:val="00AA2F9E"/>
    <w:rsid w:val="00AA307C"/>
    <w:rsid w:val="00AA3ACB"/>
    <w:rsid w:val="00AA40A0"/>
    <w:rsid w:val="00AA4206"/>
    <w:rsid w:val="00AA5131"/>
    <w:rsid w:val="00AA5960"/>
    <w:rsid w:val="00AA6C22"/>
    <w:rsid w:val="00AA7178"/>
    <w:rsid w:val="00AA73BE"/>
    <w:rsid w:val="00AB0805"/>
    <w:rsid w:val="00AB08DF"/>
    <w:rsid w:val="00AB1852"/>
    <w:rsid w:val="00AB21D1"/>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25C"/>
    <w:rsid w:val="00AD22B5"/>
    <w:rsid w:val="00AD391D"/>
    <w:rsid w:val="00AD4564"/>
    <w:rsid w:val="00AD4668"/>
    <w:rsid w:val="00AD4811"/>
    <w:rsid w:val="00AD55FA"/>
    <w:rsid w:val="00AD728C"/>
    <w:rsid w:val="00AE388E"/>
    <w:rsid w:val="00AE4E2F"/>
    <w:rsid w:val="00AE5052"/>
    <w:rsid w:val="00AE566E"/>
    <w:rsid w:val="00AE586A"/>
    <w:rsid w:val="00AE7A19"/>
    <w:rsid w:val="00AE7AF2"/>
    <w:rsid w:val="00AF04CF"/>
    <w:rsid w:val="00AF059A"/>
    <w:rsid w:val="00AF05E3"/>
    <w:rsid w:val="00AF22AE"/>
    <w:rsid w:val="00AF3299"/>
    <w:rsid w:val="00AF57EA"/>
    <w:rsid w:val="00AF5A51"/>
    <w:rsid w:val="00AF5BD7"/>
    <w:rsid w:val="00AF710C"/>
    <w:rsid w:val="00B006FE"/>
    <w:rsid w:val="00B01ECB"/>
    <w:rsid w:val="00B04291"/>
    <w:rsid w:val="00B04530"/>
    <w:rsid w:val="00B05E74"/>
    <w:rsid w:val="00B066CB"/>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47ADF"/>
    <w:rsid w:val="00B50584"/>
    <w:rsid w:val="00B52E84"/>
    <w:rsid w:val="00B53970"/>
    <w:rsid w:val="00B5424C"/>
    <w:rsid w:val="00B545B1"/>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5E9"/>
    <w:rsid w:val="00B976AC"/>
    <w:rsid w:val="00BA00AF"/>
    <w:rsid w:val="00BA086F"/>
    <w:rsid w:val="00BA0D18"/>
    <w:rsid w:val="00BA100B"/>
    <w:rsid w:val="00BA1D07"/>
    <w:rsid w:val="00BA265C"/>
    <w:rsid w:val="00BA2A9D"/>
    <w:rsid w:val="00BA4D01"/>
    <w:rsid w:val="00BA5444"/>
    <w:rsid w:val="00BA58BF"/>
    <w:rsid w:val="00BA5AC4"/>
    <w:rsid w:val="00BA6305"/>
    <w:rsid w:val="00BA6467"/>
    <w:rsid w:val="00BA6C46"/>
    <w:rsid w:val="00BB0AF0"/>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516"/>
    <w:rsid w:val="00BC7705"/>
    <w:rsid w:val="00BC7BBB"/>
    <w:rsid w:val="00BD0276"/>
    <w:rsid w:val="00BD2323"/>
    <w:rsid w:val="00BD2D3B"/>
    <w:rsid w:val="00BD319D"/>
    <w:rsid w:val="00BD3763"/>
    <w:rsid w:val="00BD3AB9"/>
    <w:rsid w:val="00BD3FDF"/>
    <w:rsid w:val="00BD4240"/>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F48"/>
    <w:rsid w:val="00C014E5"/>
    <w:rsid w:val="00C03298"/>
    <w:rsid w:val="00C050AE"/>
    <w:rsid w:val="00C05DA1"/>
    <w:rsid w:val="00C06322"/>
    <w:rsid w:val="00C0651E"/>
    <w:rsid w:val="00C06FB7"/>
    <w:rsid w:val="00C07368"/>
    <w:rsid w:val="00C07629"/>
    <w:rsid w:val="00C1044C"/>
    <w:rsid w:val="00C10C83"/>
    <w:rsid w:val="00C10EAE"/>
    <w:rsid w:val="00C111B1"/>
    <w:rsid w:val="00C115A2"/>
    <w:rsid w:val="00C125C4"/>
    <w:rsid w:val="00C12C3A"/>
    <w:rsid w:val="00C130C4"/>
    <w:rsid w:val="00C13222"/>
    <w:rsid w:val="00C138C0"/>
    <w:rsid w:val="00C13FB5"/>
    <w:rsid w:val="00C14694"/>
    <w:rsid w:val="00C147D9"/>
    <w:rsid w:val="00C157FC"/>
    <w:rsid w:val="00C17370"/>
    <w:rsid w:val="00C17BB9"/>
    <w:rsid w:val="00C206FC"/>
    <w:rsid w:val="00C20B26"/>
    <w:rsid w:val="00C20C2C"/>
    <w:rsid w:val="00C210EB"/>
    <w:rsid w:val="00C21B39"/>
    <w:rsid w:val="00C21C2B"/>
    <w:rsid w:val="00C21FA2"/>
    <w:rsid w:val="00C221A0"/>
    <w:rsid w:val="00C231AF"/>
    <w:rsid w:val="00C23D7A"/>
    <w:rsid w:val="00C23F92"/>
    <w:rsid w:val="00C24D52"/>
    <w:rsid w:val="00C25087"/>
    <w:rsid w:val="00C2546A"/>
    <w:rsid w:val="00C273C0"/>
    <w:rsid w:val="00C27FD5"/>
    <w:rsid w:val="00C316DD"/>
    <w:rsid w:val="00C31C54"/>
    <w:rsid w:val="00C33F07"/>
    <w:rsid w:val="00C33F49"/>
    <w:rsid w:val="00C3415D"/>
    <w:rsid w:val="00C344BB"/>
    <w:rsid w:val="00C349A1"/>
    <w:rsid w:val="00C34F98"/>
    <w:rsid w:val="00C353F6"/>
    <w:rsid w:val="00C37A4B"/>
    <w:rsid w:val="00C40655"/>
    <w:rsid w:val="00C433C4"/>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9ED"/>
    <w:rsid w:val="00C57B94"/>
    <w:rsid w:val="00C57E8F"/>
    <w:rsid w:val="00C606C9"/>
    <w:rsid w:val="00C6380A"/>
    <w:rsid w:val="00C63996"/>
    <w:rsid w:val="00C642F6"/>
    <w:rsid w:val="00C652B1"/>
    <w:rsid w:val="00C6615E"/>
    <w:rsid w:val="00C6770B"/>
    <w:rsid w:val="00C67C8E"/>
    <w:rsid w:val="00C702C2"/>
    <w:rsid w:val="00C720C9"/>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EEF"/>
    <w:rsid w:val="00CC5F0A"/>
    <w:rsid w:val="00CC617B"/>
    <w:rsid w:val="00CD0820"/>
    <w:rsid w:val="00CD12DD"/>
    <w:rsid w:val="00CD1ACC"/>
    <w:rsid w:val="00CD1B50"/>
    <w:rsid w:val="00CD2C9C"/>
    <w:rsid w:val="00CD3361"/>
    <w:rsid w:val="00CD4C31"/>
    <w:rsid w:val="00CD545B"/>
    <w:rsid w:val="00CD5753"/>
    <w:rsid w:val="00CD6EB0"/>
    <w:rsid w:val="00CD75D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3B19"/>
    <w:rsid w:val="00CF5717"/>
    <w:rsid w:val="00CF6174"/>
    <w:rsid w:val="00CF61E0"/>
    <w:rsid w:val="00CF761D"/>
    <w:rsid w:val="00D006C7"/>
    <w:rsid w:val="00D01175"/>
    <w:rsid w:val="00D02322"/>
    <w:rsid w:val="00D027B4"/>
    <w:rsid w:val="00D037F8"/>
    <w:rsid w:val="00D04EE0"/>
    <w:rsid w:val="00D05023"/>
    <w:rsid w:val="00D0521F"/>
    <w:rsid w:val="00D052ED"/>
    <w:rsid w:val="00D064AE"/>
    <w:rsid w:val="00D06956"/>
    <w:rsid w:val="00D06AC3"/>
    <w:rsid w:val="00D06BCD"/>
    <w:rsid w:val="00D06EBE"/>
    <w:rsid w:val="00D10F97"/>
    <w:rsid w:val="00D11416"/>
    <w:rsid w:val="00D116A2"/>
    <w:rsid w:val="00D12C89"/>
    <w:rsid w:val="00D13C06"/>
    <w:rsid w:val="00D1589A"/>
    <w:rsid w:val="00D16914"/>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3547A"/>
    <w:rsid w:val="00D403E7"/>
    <w:rsid w:val="00D412F7"/>
    <w:rsid w:val="00D4247C"/>
    <w:rsid w:val="00D424AB"/>
    <w:rsid w:val="00D45309"/>
    <w:rsid w:val="00D4789C"/>
    <w:rsid w:val="00D50856"/>
    <w:rsid w:val="00D509E2"/>
    <w:rsid w:val="00D50FDD"/>
    <w:rsid w:val="00D52B6A"/>
    <w:rsid w:val="00D533AE"/>
    <w:rsid w:val="00D538B3"/>
    <w:rsid w:val="00D54F49"/>
    <w:rsid w:val="00D56AB8"/>
    <w:rsid w:val="00D575C0"/>
    <w:rsid w:val="00D57726"/>
    <w:rsid w:val="00D578D1"/>
    <w:rsid w:val="00D601EA"/>
    <w:rsid w:val="00D60C5C"/>
    <w:rsid w:val="00D61612"/>
    <w:rsid w:val="00D620DA"/>
    <w:rsid w:val="00D62C4C"/>
    <w:rsid w:val="00D62D93"/>
    <w:rsid w:val="00D62EFD"/>
    <w:rsid w:val="00D63F66"/>
    <w:rsid w:val="00D6460E"/>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1846"/>
    <w:rsid w:val="00D826A1"/>
    <w:rsid w:val="00D8288E"/>
    <w:rsid w:val="00D84C50"/>
    <w:rsid w:val="00D85C93"/>
    <w:rsid w:val="00D86043"/>
    <w:rsid w:val="00D8739A"/>
    <w:rsid w:val="00D87F17"/>
    <w:rsid w:val="00D92508"/>
    <w:rsid w:val="00D933C1"/>
    <w:rsid w:val="00D9380D"/>
    <w:rsid w:val="00D94D17"/>
    <w:rsid w:val="00D959D4"/>
    <w:rsid w:val="00D959E6"/>
    <w:rsid w:val="00D96098"/>
    <w:rsid w:val="00D960F7"/>
    <w:rsid w:val="00D97551"/>
    <w:rsid w:val="00D976A3"/>
    <w:rsid w:val="00D976C7"/>
    <w:rsid w:val="00D97BC6"/>
    <w:rsid w:val="00DA2B93"/>
    <w:rsid w:val="00DA3AB6"/>
    <w:rsid w:val="00DA4FF9"/>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40F7"/>
    <w:rsid w:val="00DC4AED"/>
    <w:rsid w:val="00DC5015"/>
    <w:rsid w:val="00DC646A"/>
    <w:rsid w:val="00DC6B58"/>
    <w:rsid w:val="00DC6DF5"/>
    <w:rsid w:val="00DD10E9"/>
    <w:rsid w:val="00DD3E83"/>
    <w:rsid w:val="00DD499A"/>
    <w:rsid w:val="00DD7F5E"/>
    <w:rsid w:val="00DD7FD5"/>
    <w:rsid w:val="00DE1084"/>
    <w:rsid w:val="00DE2530"/>
    <w:rsid w:val="00DE3883"/>
    <w:rsid w:val="00DE4261"/>
    <w:rsid w:val="00DE4A44"/>
    <w:rsid w:val="00DE4BE4"/>
    <w:rsid w:val="00DE56EA"/>
    <w:rsid w:val="00DE6174"/>
    <w:rsid w:val="00DE62A9"/>
    <w:rsid w:val="00DE7972"/>
    <w:rsid w:val="00DF03C1"/>
    <w:rsid w:val="00DF1CEA"/>
    <w:rsid w:val="00DF240E"/>
    <w:rsid w:val="00DF407A"/>
    <w:rsid w:val="00DF46DE"/>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69AA"/>
    <w:rsid w:val="00E27407"/>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8EE"/>
    <w:rsid w:val="00E40947"/>
    <w:rsid w:val="00E4216F"/>
    <w:rsid w:val="00E428AF"/>
    <w:rsid w:val="00E43415"/>
    <w:rsid w:val="00E448EA"/>
    <w:rsid w:val="00E45787"/>
    <w:rsid w:val="00E47EAE"/>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76B"/>
    <w:rsid w:val="00E8780A"/>
    <w:rsid w:val="00E91003"/>
    <w:rsid w:val="00E913E1"/>
    <w:rsid w:val="00E9297D"/>
    <w:rsid w:val="00E930BA"/>
    <w:rsid w:val="00E934F1"/>
    <w:rsid w:val="00E93F62"/>
    <w:rsid w:val="00E9403D"/>
    <w:rsid w:val="00E94513"/>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34A3"/>
    <w:rsid w:val="00EB5C63"/>
    <w:rsid w:val="00EB67CF"/>
    <w:rsid w:val="00EB68C4"/>
    <w:rsid w:val="00EB708D"/>
    <w:rsid w:val="00EB7A24"/>
    <w:rsid w:val="00EB7CB4"/>
    <w:rsid w:val="00EC0B61"/>
    <w:rsid w:val="00EC0EEC"/>
    <w:rsid w:val="00EC1B91"/>
    <w:rsid w:val="00EC28E2"/>
    <w:rsid w:val="00EC3079"/>
    <w:rsid w:val="00EC3624"/>
    <w:rsid w:val="00EC3BE7"/>
    <w:rsid w:val="00EC5929"/>
    <w:rsid w:val="00EC5A81"/>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0D3C"/>
    <w:rsid w:val="00EF17B6"/>
    <w:rsid w:val="00EF1AAC"/>
    <w:rsid w:val="00EF1AF6"/>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69B8"/>
    <w:rsid w:val="00F36CA6"/>
    <w:rsid w:val="00F37243"/>
    <w:rsid w:val="00F40410"/>
    <w:rsid w:val="00F406D3"/>
    <w:rsid w:val="00F41B41"/>
    <w:rsid w:val="00F41BB1"/>
    <w:rsid w:val="00F42283"/>
    <w:rsid w:val="00F42372"/>
    <w:rsid w:val="00F43F49"/>
    <w:rsid w:val="00F4446C"/>
    <w:rsid w:val="00F46179"/>
    <w:rsid w:val="00F4669F"/>
    <w:rsid w:val="00F46DFE"/>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608FD"/>
    <w:rsid w:val="00F609D5"/>
    <w:rsid w:val="00F60D12"/>
    <w:rsid w:val="00F6236B"/>
    <w:rsid w:val="00F62D11"/>
    <w:rsid w:val="00F63C07"/>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267D"/>
    <w:rsid w:val="00F84DCF"/>
    <w:rsid w:val="00F85491"/>
    <w:rsid w:val="00F85849"/>
    <w:rsid w:val="00F868B4"/>
    <w:rsid w:val="00F86E5D"/>
    <w:rsid w:val="00F86EAC"/>
    <w:rsid w:val="00F8748F"/>
    <w:rsid w:val="00F90CF2"/>
    <w:rsid w:val="00F90E22"/>
    <w:rsid w:val="00F91F7A"/>
    <w:rsid w:val="00F923D2"/>
    <w:rsid w:val="00F939F0"/>
    <w:rsid w:val="00F9421B"/>
    <w:rsid w:val="00F94F58"/>
    <w:rsid w:val="00F95379"/>
    <w:rsid w:val="00F96693"/>
    <w:rsid w:val="00F97003"/>
    <w:rsid w:val="00F976ED"/>
    <w:rsid w:val="00F97AA1"/>
    <w:rsid w:val="00F97F9C"/>
    <w:rsid w:val="00FA0CB6"/>
    <w:rsid w:val="00FA10AA"/>
    <w:rsid w:val="00FA2535"/>
    <w:rsid w:val="00FA3831"/>
    <w:rsid w:val="00FA46AA"/>
    <w:rsid w:val="00FA4EA4"/>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1058"/>
    <w:rsid w:val="00FC11C5"/>
    <w:rsid w:val="00FC18B7"/>
    <w:rsid w:val="00FC4A33"/>
    <w:rsid w:val="00FC5A6C"/>
    <w:rsid w:val="00FD0289"/>
    <w:rsid w:val="00FD0A30"/>
    <w:rsid w:val="00FD131A"/>
    <w:rsid w:val="00FD16DE"/>
    <w:rsid w:val="00FD31B8"/>
    <w:rsid w:val="00FD37C5"/>
    <w:rsid w:val="00FD3ADF"/>
    <w:rsid w:val="00FD5443"/>
    <w:rsid w:val="00FD54DB"/>
    <w:rsid w:val="00FD712F"/>
    <w:rsid w:val="00FD7407"/>
    <w:rsid w:val="00FD7755"/>
    <w:rsid w:val="00FD7B8A"/>
    <w:rsid w:val="00FD7C12"/>
    <w:rsid w:val="00FE087E"/>
    <w:rsid w:val="00FE1619"/>
    <w:rsid w:val="00FE25CE"/>
    <w:rsid w:val="00FE3CD7"/>
    <w:rsid w:val="00FE4689"/>
    <w:rsid w:val="00FE528C"/>
    <w:rsid w:val="00FE5377"/>
    <w:rsid w:val="00FE5EA7"/>
    <w:rsid w:val="00FE7076"/>
    <w:rsid w:val="00FE73F9"/>
    <w:rsid w:val="00FF0ACE"/>
    <w:rsid w:val="00FF18B8"/>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15:docId w15:val="{7E8381B8-DF73-4886-B0C2-5B4C4971F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uiPriority w:val="99"/>
    <w:rsid w:val="00B67F1D"/>
    <w:pPr>
      <w:tabs>
        <w:tab w:val="center" w:pos="4419"/>
        <w:tab w:val="right" w:pos="8838"/>
      </w:tabs>
    </w:pPr>
    <w:rPr>
      <w:sz w:val="20"/>
      <w:szCs w:val="20"/>
    </w:rPr>
  </w:style>
  <w:style w:type="character" w:customStyle="1" w:styleId="CabealhoChar">
    <w:name w:val="Cabeçalho Char"/>
    <w:link w:val="Cabealho"/>
    <w:uiPriority w:val="99"/>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 w:type="paragraph" w:styleId="Reviso">
    <w:name w:val="Revision"/>
    <w:hidden/>
    <w:uiPriority w:val="99"/>
    <w:semiHidden/>
    <w:rsid w:val="008201FF"/>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6757619">
      <w:bodyDiv w:val="1"/>
      <w:marLeft w:val="0"/>
      <w:marRight w:val="0"/>
      <w:marTop w:val="0"/>
      <w:marBottom w:val="0"/>
      <w:divBdr>
        <w:top w:val="none" w:sz="0" w:space="0" w:color="auto"/>
        <w:left w:val="none" w:sz="0" w:space="0" w:color="auto"/>
        <w:bottom w:val="none" w:sz="0" w:space="0" w:color="auto"/>
        <w:right w:val="none" w:sz="0" w:space="0" w:color="auto"/>
      </w:divBdr>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footer" Target="footer1.xml"/><Relationship Id="rId10" Type="http://schemas.openxmlformats.org/officeDocument/2006/relationships/image" Target="media/image3.jp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eg"/><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b:Source>
    <b:Tag>Bra11</b:Tag>
    <b:SourceType>Book</b:SourceType>
    <b:Guid>{CE5AE687-E045-4DD7-9DE9-2057F4C76E3E}</b:Guid>
    <b:Title>Soldagem Fundamentos e Tecnologia</b:Title>
    <b:Year>2011</b:Year>
    <b:City>Belo Horizonte</b:City>
    <b:Publisher>Editora UFMG</b:Publisher>
    <b:Edition>3</b:Edition>
    <b:Author>
      <b:Author>
        <b:NameList>
          <b:Person>
            <b:Last>Bracarense</b:Last>
            <b:Middle>Queiroz</b:Middle>
            <b:First>Alexandre</b:First>
          </b:Person>
          <b:Person>
            <b:Last>Marques</b:Last>
            <b:Middle>Villani</b:Middle>
            <b:First>Paulo</b:First>
          </b:Person>
          <b:Person>
            <b:Last>Modenesi</b:Last>
            <b:Middle>José</b:Middle>
            <b:First>Paulo</b:First>
          </b:Person>
        </b:NameList>
      </b:Author>
    </b:Author>
    <b:Pages>137-141</b:Pages>
    <b:RefOrder>2</b:RefOrder>
  </b:Source>
  <b:Source>
    <b:Tag>Mag09</b:Tag>
    <b:SourceType>Book</b:SourceType>
    <b:Guid>{58BBEAC5-4634-440C-812D-7ADF4D5ECBB2}</b:Guid>
    <b:Title>Metalurgia Física e Mecânica Aplicada</b:Title>
    <b:Year>2009</b:Year>
    <b:City>São Paulo</b:City>
    <b:Publisher>ABM</b:Publisher>
    <b:Volume>2</b:Volume>
    <b:Edition>2ª</b:Edition>
    <b:Author>
      <b:Author>
        <b:NameList>
          <b:Person>
            <b:Last>Magnabosco</b:Last>
            <b:Middle>Sérgio</b:Middle>
            <b:First>Antônio</b:First>
          </b:Person>
          <b:Person>
            <b:Last>Morais</b:Last>
            <b:Middle>Ank de</b:Middle>
            <b:First>Willy</b:First>
          </b:Person>
          <b:Person>
            <b:Last>Netto</b:Last>
            <b:Middle>Bezerra de Menezes</b:Middle>
            <b:First>Eliana</b:First>
          </b:Person>
        </b:NameList>
      </b:Author>
    </b:Author>
    <b:RefOrder>1</b:RefOrder>
  </b:Source>
</b:Sources>
</file>

<file path=customXml/itemProps1.xml><?xml version="1.0" encoding="utf-8"?>
<ds:datastoreItem xmlns:ds="http://schemas.openxmlformats.org/officeDocument/2006/customXml" ds:itemID="{518D5506-3D8E-4962-8BF3-29474BDF8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11</Pages>
  <Words>3191</Words>
  <Characters>17235</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20386</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Silvio</dc:creator>
  <cp:lastModifiedBy>Willy Ank de Morais</cp:lastModifiedBy>
  <cp:revision>31</cp:revision>
  <cp:lastPrinted>2016-09-13T03:47:00Z</cp:lastPrinted>
  <dcterms:created xsi:type="dcterms:W3CDTF">2016-10-07T19:01:00Z</dcterms:created>
  <dcterms:modified xsi:type="dcterms:W3CDTF">2016-10-19T12:55:00Z</dcterms:modified>
</cp:coreProperties>
</file>