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77B9" w:rsidRPr="00624D5A" w:rsidRDefault="002977B9" w:rsidP="00624D5A">
      <w:pPr>
        <w:pStyle w:val="Default"/>
        <w:jc w:val="center"/>
        <w:rPr>
          <w:rFonts w:ascii="Arial" w:hAnsi="Arial" w:cs="Arial"/>
        </w:rPr>
      </w:pPr>
      <w:r w:rsidRPr="00624D5A">
        <w:rPr>
          <w:rFonts w:ascii="Arial" w:hAnsi="Arial" w:cs="Arial"/>
          <w:b/>
          <w:bCs/>
        </w:rPr>
        <w:t>SIMPÓSIO INTERNACIONAL DE CIÊNCIAS INTEGRADAS DA UNAERP CAMPUS GUARUJÁ</w:t>
      </w:r>
    </w:p>
    <w:p w:rsidR="002977B9" w:rsidRPr="00624D5A" w:rsidRDefault="002977B9" w:rsidP="00624D5A">
      <w:pPr>
        <w:pStyle w:val="Default"/>
        <w:rPr>
          <w:rFonts w:ascii="Arial" w:hAnsi="Arial" w:cs="Arial"/>
          <w:b/>
          <w:bCs/>
        </w:rPr>
      </w:pPr>
    </w:p>
    <w:p w:rsidR="002977B9" w:rsidRPr="00624D5A" w:rsidRDefault="0066353E" w:rsidP="00624D5A">
      <w:pPr>
        <w:spacing w:after="0" w:line="240" w:lineRule="auto"/>
        <w:jc w:val="center"/>
        <w:rPr>
          <w:rFonts w:ascii="Arial" w:hAnsi="Arial" w:cs="Arial"/>
          <w:b/>
          <w:sz w:val="24"/>
          <w:szCs w:val="24"/>
        </w:rPr>
      </w:pPr>
      <w:r w:rsidRPr="00624D5A">
        <w:rPr>
          <w:rFonts w:ascii="Arial" w:hAnsi="Arial" w:cs="Arial"/>
          <w:b/>
          <w:sz w:val="24"/>
          <w:szCs w:val="24"/>
        </w:rPr>
        <w:t>AS NOVAS REGRAS DA LEI 13.135/15 NA CONCESSÃO DE PENSÃO POR MORTE E OS REFLEXOS AOS BENEFICIÁRIOS</w:t>
      </w:r>
    </w:p>
    <w:p w:rsidR="0066353E" w:rsidRPr="00624D5A" w:rsidRDefault="0066353E" w:rsidP="00624D5A">
      <w:pPr>
        <w:spacing w:after="0" w:line="240" w:lineRule="auto"/>
        <w:jc w:val="center"/>
        <w:rPr>
          <w:rFonts w:ascii="Arial" w:hAnsi="Arial" w:cs="Arial"/>
          <w:b/>
          <w:sz w:val="24"/>
          <w:szCs w:val="24"/>
        </w:rPr>
      </w:pPr>
    </w:p>
    <w:p w:rsidR="0066353E" w:rsidRPr="00624D5A" w:rsidRDefault="0066353E" w:rsidP="00624D5A">
      <w:pPr>
        <w:spacing w:after="0" w:line="240" w:lineRule="auto"/>
        <w:jc w:val="center"/>
        <w:rPr>
          <w:rFonts w:ascii="Arial" w:hAnsi="Arial" w:cs="Arial"/>
          <w:b/>
          <w:sz w:val="24"/>
          <w:szCs w:val="24"/>
        </w:rPr>
      </w:pPr>
    </w:p>
    <w:p w:rsidR="002977B9" w:rsidRPr="00624D5A" w:rsidRDefault="0066353E" w:rsidP="00624D5A">
      <w:pPr>
        <w:spacing w:after="0" w:line="240" w:lineRule="auto"/>
        <w:jc w:val="center"/>
        <w:rPr>
          <w:rFonts w:ascii="Arial" w:hAnsi="Arial" w:cs="Arial"/>
          <w:b/>
          <w:bCs/>
          <w:sz w:val="24"/>
          <w:szCs w:val="24"/>
          <w:lang w:val="en-US"/>
        </w:rPr>
      </w:pPr>
      <w:r w:rsidRPr="00624D5A">
        <w:rPr>
          <w:rFonts w:ascii="Arial" w:hAnsi="Arial" w:cs="Arial"/>
          <w:b/>
          <w:sz w:val="24"/>
          <w:szCs w:val="24"/>
          <w:lang w:val="en-US"/>
        </w:rPr>
        <w:t xml:space="preserve">THE DEATH PENSION’ NEW RULES OF LAW 13,135/15 AND ITS REFLECTION AT </w:t>
      </w:r>
      <w:r w:rsidRPr="00624D5A">
        <w:rPr>
          <w:rFonts w:ascii="Arial" w:hAnsi="Arial" w:cs="Arial"/>
          <w:b/>
          <w:sz w:val="24"/>
          <w:szCs w:val="24"/>
          <w:lang w:val="en-US"/>
        </w:rPr>
        <w:t xml:space="preserve">BENEFICIARIES </w:t>
      </w:r>
      <w:r w:rsidRPr="00624D5A">
        <w:rPr>
          <w:rFonts w:ascii="Arial" w:hAnsi="Arial" w:cs="Arial"/>
          <w:b/>
          <w:sz w:val="24"/>
          <w:szCs w:val="24"/>
          <w:lang w:val="en-US"/>
        </w:rPr>
        <w:t>CONCESSION</w:t>
      </w:r>
    </w:p>
    <w:p w:rsidR="0066353E" w:rsidRPr="00624D5A" w:rsidRDefault="0066353E" w:rsidP="00624D5A">
      <w:pPr>
        <w:pStyle w:val="Default"/>
        <w:jc w:val="center"/>
        <w:rPr>
          <w:rFonts w:ascii="Arial" w:hAnsi="Arial" w:cs="Arial"/>
          <w:b/>
          <w:bCs/>
          <w:lang w:val="en-US"/>
        </w:rPr>
      </w:pPr>
    </w:p>
    <w:p w:rsidR="0066353E" w:rsidRPr="00624D5A" w:rsidRDefault="0066353E" w:rsidP="00624D5A">
      <w:pPr>
        <w:pStyle w:val="Default"/>
        <w:jc w:val="center"/>
        <w:rPr>
          <w:rFonts w:ascii="Arial" w:hAnsi="Arial" w:cs="Arial"/>
          <w:b/>
          <w:bCs/>
        </w:rPr>
      </w:pPr>
      <w:r w:rsidRPr="00624D5A">
        <w:rPr>
          <w:rFonts w:ascii="Arial" w:hAnsi="Arial" w:cs="Arial"/>
          <w:b/>
          <w:bCs/>
        </w:rPr>
        <w:t xml:space="preserve">Maria Lúcia </w:t>
      </w:r>
      <w:proofErr w:type="spellStart"/>
      <w:r w:rsidRPr="00624D5A">
        <w:rPr>
          <w:rFonts w:ascii="Arial" w:hAnsi="Arial" w:cs="Arial"/>
          <w:b/>
          <w:bCs/>
        </w:rPr>
        <w:t>Rimoli</w:t>
      </w:r>
      <w:proofErr w:type="spellEnd"/>
      <w:r w:rsidRPr="00624D5A">
        <w:rPr>
          <w:rFonts w:ascii="Arial" w:hAnsi="Arial" w:cs="Arial"/>
          <w:b/>
          <w:bCs/>
        </w:rPr>
        <w:t xml:space="preserve"> Antunes Justo Ferreira</w:t>
      </w:r>
    </w:p>
    <w:p w:rsidR="0066353E" w:rsidRPr="00624D5A" w:rsidRDefault="0066353E" w:rsidP="00624D5A">
      <w:pPr>
        <w:pStyle w:val="Default"/>
        <w:jc w:val="center"/>
        <w:rPr>
          <w:rFonts w:ascii="Arial" w:hAnsi="Arial" w:cs="Arial"/>
          <w:b/>
          <w:bCs/>
        </w:rPr>
      </w:pPr>
      <w:r w:rsidRPr="00624D5A">
        <w:rPr>
          <w:rFonts w:ascii="Arial" w:hAnsi="Arial" w:cs="Arial"/>
          <w:b/>
          <w:bCs/>
        </w:rPr>
        <w:t>Bacharel do Curso de Direito</w:t>
      </w:r>
      <w:r w:rsidRPr="00624D5A">
        <w:rPr>
          <w:rStyle w:val="Refdenotaderodap"/>
          <w:rFonts w:ascii="Arial" w:hAnsi="Arial" w:cs="Arial"/>
          <w:b/>
          <w:bCs/>
        </w:rPr>
        <w:footnoteReference w:id="1"/>
      </w:r>
    </w:p>
    <w:p w:rsidR="0066353E" w:rsidRPr="00624D5A" w:rsidRDefault="0066353E" w:rsidP="00624D5A">
      <w:pPr>
        <w:pStyle w:val="Default"/>
        <w:jc w:val="center"/>
        <w:rPr>
          <w:rFonts w:ascii="Arial" w:hAnsi="Arial" w:cs="Arial"/>
          <w:b/>
          <w:bCs/>
          <w:lang w:val="es-AR"/>
        </w:rPr>
      </w:pPr>
      <w:r w:rsidRPr="00624D5A">
        <w:rPr>
          <w:rFonts w:ascii="Arial" w:hAnsi="Arial" w:cs="Arial"/>
          <w:b/>
          <w:bCs/>
          <w:lang w:val="es-AR"/>
        </w:rPr>
        <w:t>lurimoli@yahoo.com.br</w:t>
      </w:r>
    </w:p>
    <w:p w:rsidR="0066353E" w:rsidRPr="00624D5A" w:rsidRDefault="0066353E" w:rsidP="00624D5A">
      <w:pPr>
        <w:pStyle w:val="Default"/>
        <w:rPr>
          <w:rFonts w:ascii="Arial" w:hAnsi="Arial" w:cs="Arial"/>
          <w:b/>
          <w:bCs/>
          <w:lang w:val="es-AR"/>
        </w:rPr>
      </w:pPr>
    </w:p>
    <w:p w:rsidR="002977B9" w:rsidRPr="00624D5A" w:rsidRDefault="002977B9" w:rsidP="00624D5A">
      <w:pPr>
        <w:spacing w:after="0" w:line="240" w:lineRule="auto"/>
        <w:jc w:val="center"/>
        <w:rPr>
          <w:rFonts w:ascii="Arial" w:hAnsi="Arial" w:cs="Arial"/>
          <w:sz w:val="24"/>
          <w:szCs w:val="24"/>
          <w:lang w:val="es-AR"/>
        </w:rPr>
      </w:pPr>
      <w:proofErr w:type="spellStart"/>
      <w:r w:rsidRPr="00624D5A">
        <w:rPr>
          <w:rFonts w:ascii="Arial" w:hAnsi="Arial" w:cs="Arial"/>
          <w:b/>
          <w:sz w:val="24"/>
          <w:szCs w:val="24"/>
          <w:lang w:val="es-AR"/>
        </w:rPr>
        <w:t>Thiago</w:t>
      </w:r>
      <w:proofErr w:type="spellEnd"/>
      <w:r w:rsidRPr="00624D5A">
        <w:rPr>
          <w:rFonts w:ascii="Arial" w:hAnsi="Arial" w:cs="Arial"/>
          <w:b/>
          <w:sz w:val="24"/>
          <w:szCs w:val="24"/>
          <w:lang w:val="es-AR"/>
        </w:rPr>
        <w:t xml:space="preserve"> Felipe S. </w:t>
      </w:r>
      <w:proofErr w:type="spellStart"/>
      <w:r w:rsidRPr="00624D5A">
        <w:rPr>
          <w:rFonts w:ascii="Arial" w:hAnsi="Arial" w:cs="Arial"/>
          <w:b/>
          <w:sz w:val="24"/>
          <w:szCs w:val="24"/>
          <w:lang w:val="es-AR"/>
        </w:rPr>
        <w:t>Avanci</w:t>
      </w:r>
      <w:proofErr w:type="spellEnd"/>
      <w:r w:rsidRPr="00624D5A">
        <w:rPr>
          <w:rFonts w:ascii="Arial" w:hAnsi="Arial" w:cs="Arial"/>
          <w:sz w:val="24"/>
          <w:szCs w:val="24"/>
          <w:lang w:val="es-AR"/>
        </w:rPr>
        <w:t xml:space="preserve"> </w:t>
      </w:r>
      <w:r w:rsidRPr="00624D5A">
        <w:rPr>
          <w:rStyle w:val="Refdenotaderodap"/>
          <w:rFonts w:ascii="Arial" w:hAnsi="Arial" w:cs="Arial"/>
          <w:sz w:val="24"/>
          <w:szCs w:val="24"/>
        </w:rPr>
        <w:footnoteReference w:id="2"/>
      </w:r>
      <w:r w:rsidRPr="00624D5A">
        <w:rPr>
          <w:rFonts w:ascii="Arial" w:hAnsi="Arial" w:cs="Arial"/>
          <w:sz w:val="24"/>
          <w:szCs w:val="24"/>
          <w:lang w:val="es-AR"/>
        </w:rPr>
        <w:t xml:space="preserve"> </w:t>
      </w:r>
      <w:r w:rsidRPr="00624D5A">
        <w:rPr>
          <w:rStyle w:val="Refdenotaderodap"/>
          <w:rFonts w:ascii="Arial" w:hAnsi="Arial" w:cs="Arial"/>
          <w:sz w:val="24"/>
          <w:szCs w:val="24"/>
        </w:rPr>
        <w:footnoteReference w:id="3"/>
      </w:r>
    </w:p>
    <w:p w:rsidR="002977B9" w:rsidRPr="00624D5A" w:rsidRDefault="002977B9" w:rsidP="00624D5A">
      <w:pPr>
        <w:pStyle w:val="Default"/>
        <w:jc w:val="center"/>
        <w:rPr>
          <w:rFonts w:ascii="Arial" w:hAnsi="Arial" w:cs="Arial"/>
          <w:b/>
          <w:bCs/>
        </w:rPr>
      </w:pPr>
      <w:r w:rsidRPr="00624D5A">
        <w:rPr>
          <w:rFonts w:ascii="Arial" w:hAnsi="Arial" w:cs="Arial"/>
          <w:b/>
          <w:bCs/>
        </w:rPr>
        <w:t xml:space="preserve">Professor do Curso de Direito </w:t>
      </w:r>
      <w:r w:rsidR="00045E7F" w:rsidRPr="00624D5A">
        <w:rPr>
          <w:rFonts w:ascii="Arial" w:hAnsi="Arial" w:cs="Arial"/>
          <w:b/>
          <w:bCs/>
        </w:rPr>
        <w:t>da UNAERP</w:t>
      </w:r>
    </w:p>
    <w:p w:rsidR="002977B9" w:rsidRPr="00624D5A" w:rsidRDefault="002977B9" w:rsidP="00624D5A">
      <w:pPr>
        <w:pStyle w:val="Default"/>
        <w:jc w:val="center"/>
        <w:rPr>
          <w:rFonts w:ascii="Arial" w:hAnsi="Arial" w:cs="Arial"/>
        </w:rPr>
      </w:pPr>
      <w:r w:rsidRPr="00624D5A">
        <w:rPr>
          <w:rFonts w:ascii="Arial" w:hAnsi="Arial" w:cs="Arial"/>
          <w:b/>
          <w:bCs/>
        </w:rPr>
        <w:t>Líder do Grupo de Estudos UNAERP “Regimes e Modelos Jurídicos, Econômicos, Ambientais e Internacionais nas Pessoas Jurídicas de Direito Privado</w:t>
      </w:r>
      <w:proofErr w:type="gramStart"/>
      <w:r w:rsidRPr="00624D5A">
        <w:rPr>
          <w:rFonts w:ascii="Arial" w:hAnsi="Arial" w:cs="Arial"/>
          <w:b/>
          <w:bCs/>
        </w:rPr>
        <w:t>”</w:t>
      </w:r>
      <w:proofErr w:type="gramEnd"/>
    </w:p>
    <w:p w:rsidR="002977B9" w:rsidRPr="00624D5A" w:rsidRDefault="002977B9" w:rsidP="00624D5A">
      <w:pPr>
        <w:pStyle w:val="Default"/>
        <w:jc w:val="center"/>
        <w:rPr>
          <w:rFonts w:ascii="Arial" w:hAnsi="Arial" w:cs="Arial"/>
        </w:rPr>
      </w:pPr>
      <w:r w:rsidRPr="00624D5A">
        <w:rPr>
          <w:rFonts w:ascii="Arial" w:hAnsi="Arial" w:cs="Arial"/>
          <w:b/>
          <w:bCs/>
        </w:rPr>
        <w:t>UNAERP - Universidade de Ribeirão Preto - Campus Guarujá</w:t>
      </w:r>
    </w:p>
    <w:p w:rsidR="002977B9" w:rsidRPr="00624D5A" w:rsidRDefault="002977B9" w:rsidP="00624D5A">
      <w:pPr>
        <w:pStyle w:val="Default"/>
        <w:jc w:val="center"/>
        <w:rPr>
          <w:rFonts w:ascii="Arial" w:hAnsi="Arial" w:cs="Arial"/>
          <w:b/>
          <w:bCs/>
        </w:rPr>
      </w:pPr>
      <w:r w:rsidRPr="00624D5A">
        <w:rPr>
          <w:rFonts w:ascii="Arial" w:hAnsi="Arial" w:cs="Arial"/>
          <w:b/>
          <w:bCs/>
        </w:rPr>
        <w:t>dr.avanci@outlook.com</w:t>
      </w:r>
    </w:p>
    <w:p w:rsidR="002977B9" w:rsidRPr="00624D5A" w:rsidRDefault="002977B9" w:rsidP="00624D5A">
      <w:pPr>
        <w:pStyle w:val="Default"/>
        <w:jc w:val="center"/>
        <w:rPr>
          <w:rFonts w:ascii="Arial" w:hAnsi="Arial" w:cs="Arial"/>
        </w:rPr>
      </w:pPr>
    </w:p>
    <w:p w:rsidR="002977B9" w:rsidRPr="00624D5A" w:rsidRDefault="002977B9" w:rsidP="00624D5A">
      <w:pPr>
        <w:pStyle w:val="Default"/>
        <w:jc w:val="center"/>
        <w:rPr>
          <w:rFonts w:ascii="Arial" w:hAnsi="Arial" w:cs="Arial"/>
        </w:rPr>
      </w:pPr>
      <w:r w:rsidRPr="00624D5A">
        <w:rPr>
          <w:rFonts w:ascii="Arial" w:hAnsi="Arial" w:cs="Arial"/>
          <w:b/>
          <w:bCs/>
        </w:rPr>
        <w:t>Este simpósio tem o apoio da Fundação Fernando Eduardo Lee</w:t>
      </w:r>
    </w:p>
    <w:p w:rsidR="002977B9" w:rsidRPr="00624D5A" w:rsidRDefault="002977B9" w:rsidP="00624D5A">
      <w:pPr>
        <w:pStyle w:val="Default"/>
        <w:rPr>
          <w:rFonts w:ascii="Arial" w:hAnsi="Arial" w:cs="Arial"/>
        </w:rPr>
      </w:pPr>
    </w:p>
    <w:p w:rsidR="002977B9" w:rsidRPr="00624D5A" w:rsidRDefault="002977B9" w:rsidP="00624D5A">
      <w:pPr>
        <w:pStyle w:val="Default"/>
        <w:jc w:val="both"/>
        <w:rPr>
          <w:rFonts w:ascii="Arial" w:hAnsi="Arial" w:cs="Arial"/>
        </w:rPr>
      </w:pPr>
      <w:r w:rsidRPr="00624D5A">
        <w:rPr>
          <w:rFonts w:ascii="Arial" w:hAnsi="Arial" w:cs="Arial"/>
          <w:b/>
        </w:rPr>
        <w:t>Resumo</w:t>
      </w:r>
      <w:r w:rsidRPr="00624D5A">
        <w:rPr>
          <w:rFonts w:ascii="Arial" w:hAnsi="Arial" w:cs="Arial"/>
        </w:rPr>
        <w:t xml:space="preserve">: </w:t>
      </w:r>
      <w:r w:rsidR="0066353E" w:rsidRPr="00624D5A">
        <w:rPr>
          <w:rFonts w:ascii="Arial" w:hAnsi="Arial" w:cs="Arial"/>
        </w:rPr>
        <w:t>O objetivo do presente trabalho é analisar e discutir a temática que envolve as transformações geradas pela Lei 13.135/15 e seus reflexos nos beneficiários que recebem a pensão por morte.</w:t>
      </w:r>
      <w:r w:rsidR="0066353E" w:rsidRPr="00624D5A">
        <w:rPr>
          <w:rFonts w:ascii="Arial" w:hAnsi="Arial" w:cs="Arial"/>
        </w:rPr>
        <w:t xml:space="preserve"> </w:t>
      </w:r>
      <w:r w:rsidR="0066353E" w:rsidRPr="00624D5A">
        <w:rPr>
          <w:rFonts w:ascii="Arial" w:hAnsi="Arial" w:cs="Arial"/>
        </w:rPr>
        <w:t xml:space="preserve">Após um breve panorama geral sobre a Previdência Social, cujo enfoque principal é o Regime Geral de Previdência Social, </w:t>
      </w:r>
      <w:proofErr w:type="gramStart"/>
      <w:r w:rsidR="0066353E" w:rsidRPr="00624D5A">
        <w:rPr>
          <w:rFonts w:ascii="Arial" w:hAnsi="Arial" w:cs="Arial"/>
        </w:rPr>
        <w:t>serão discutidas</w:t>
      </w:r>
      <w:proofErr w:type="gramEnd"/>
      <w:r w:rsidR="0066353E" w:rsidRPr="00624D5A">
        <w:rPr>
          <w:rFonts w:ascii="Arial" w:hAnsi="Arial" w:cs="Arial"/>
        </w:rPr>
        <w:t xml:space="preserve"> as regras impostas pela Lei 13.135/2015. O cerne da questão será o reflexo e o questionamento das mudanças no tocante aos beneficiários da pensão, principalmente o cônjuge e </w:t>
      </w:r>
      <w:proofErr w:type="gramStart"/>
      <w:r w:rsidR="0066353E" w:rsidRPr="00624D5A">
        <w:rPr>
          <w:rFonts w:ascii="Arial" w:hAnsi="Arial" w:cs="Arial"/>
        </w:rPr>
        <w:t>companheiro(</w:t>
      </w:r>
      <w:proofErr w:type="gramEnd"/>
      <w:r w:rsidR="0066353E" w:rsidRPr="00624D5A">
        <w:rPr>
          <w:rFonts w:ascii="Arial" w:hAnsi="Arial" w:cs="Arial"/>
        </w:rPr>
        <w:t>a).</w:t>
      </w:r>
    </w:p>
    <w:p w:rsidR="00086659" w:rsidRPr="00624D5A" w:rsidRDefault="00086659" w:rsidP="00624D5A">
      <w:pPr>
        <w:pStyle w:val="Default"/>
        <w:jc w:val="both"/>
        <w:rPr>
          <w:rFonts w:ascii="Arial" w:hAnsi="Arial" w:cs="Arial"/>
        </w:rPr>
      </w:pPr>
    </w:p>
    <w:p w:rsidR="00BB53E6" w:rsidRPr="00624D5A" w:rsidRDefault="002977B9" w:rsidP="00624D5A">
      <w:pPr>
        <w:pStyle w:val="Default"/>
        <w:jc w:val="both"/>
        <w:rPr>
          <w:rFonts w:ascii="Arial" w:hAnsi="Arial" w:cs="Arial"/>
        </w:rPr>
      </w:pPr>
      <w:r w:rsidRPr="00624D5A">
        <w:rPr>
          <w:rFonts w:ascii="Arial" w:hAnsi="Arial" w:cs="Arial"/>
          <w:b/>
        </w:rPr>
        <w:t>Palavras Chave</w:t>
      </w:r>
      <w:r w:rsidRPr="00624D5A">
        <w:rPr>
          <w:rFonts w:ascii="Arial" w:hAnsi="Arial" w:cs="Arial"/>
        </w:rPr>
        <w:t xml:space="preserve">: </w:t>
      </w:r>
      <w:r w:rsidR="0066353E" w:rsidRPr="00624D5A">
        <w:rPr>
          <w:rFonts w:ascii="Arial" w:hAnsi="Arial" w:cs="Arial"/>
        </w:rPr>
        <w:t>Previdência social; pensão por morte; cônjuge.</w:t>
      </w:r>
    </w:p>
    <w:p w:rsidR="00ED5175" w:rsidRPr="00624D5A" w:rsidRDefault="00ED5175" w:rsidP="00624D5A">
      <w:pPr>
        <w:spacing w:after="0" w:line="240" w:lineRule="auto"/>
        <w:rPr>
          <w:rFonts w:ascii="Arial" w:hAnsi="Arial" w:cs="Arial"/>
          <w:sz w:val="24"/>
          <w:szCs w:val="24"/>
        </w:rPr>
      </w:pPr>
    </w:p>
    <w:p w:rsidR="00ED5175" w:rsidRPr="00624D5A" w:rsidRDefault="00ED5175" w:rsidP="00624D5A">
      <w:pPr>
        <w:spacing w:after="0" w:line="240" w:lineRule="auto"/>
        <w:jc w:val="both"/>
        <w:rPr>
          <w:rFonts w:ascii="Arial" w:hAnsi="Arial" w:cs="Arial"/>
          <w:sz w:val="24"/>
          <w:szCs w:val="24"/>
          <w:lang w:val="en-US"/>
        </w:rPr>
      </w:pPr>
      <w:r w:rsidRPr="00624D5A">
        <w:rPr>
          <w:rFonts w:ascii="Arial" w:hAnsi="Arial" w:cs="Arial"/>
          <w:b/>
          <w:sz w:val="24"/>
          <w:szCs w:val="24"/>
          <w:lang w:val="en-US"/>
        </w:rPr>
        <w:t>Abstract</w:t>
      </w:r>
      <w:r w:rsidRPr="00624D5A">
        <w:rPr>
          <w:rFonts w:ascii="Arial" w:hAnsi="Arial" w:cs="Arial"/>
          <w:sz w:val="24"/>
          <w:szCs w:val="24"/>
          <w:lang w:val="en-US"/>
        </w:rPr>
        <w:t>:</w:t>
      </w:r>
      <w:r w:rsidR="00086659" w:rsidRPr="00624D5A">
        <w:rPr>
          <w:rFonts w:ascii="Arial" w:hAnsi="Arial" w:cs="Arial"/>
          <w:sz w:val="24"/>
          <w:szCs w:val="24"/>
          <w:lang w:val="en-US"/>
        </w:rPr>
        <w:t xml:space="preserve"> </w:t>
      </w:r>
      <w:r w:rsidR="0066353E" w:rsidRPr="00624D5A">
        <w:rPr>
          <w:rFonts w:ascii="Arial" w:hAnsi="Arial" w:cs="Arial"/>
          <w:sz w:val="24"/>
          <w:szCs w:val="24"/>
          <w:lang w:val="en-US"/>
        </w:rPr>
        <w:t>The objective of this study is to analyze and discuss the issue involving the changes generated by Law 13.135 / 2015 and its impact on beneficiaries who receive death pension.</w:t>
      </w:r>
      <w:r w:rsidR="0066353E" w:rsidRPr="00624D5A">
        <w:rPr>
          <w:rFonts w:ascii="Arial" w:hAnsi="Arial" w:cs="Arial"/>
          <w:sz w:val="24"/>
          <w:szCs w:val="24"/>
          <w:lang w:val="en-US"/>
        </w:rPr>
        <w:t xml:space="preserve"> </w:t>
      </w:r>
      <w:r w:rsidR="0066353E" w:rsidRPr="00624D5A">
        <w:rPr>
          <w:rFonts w:ascii="Arial" w:hAnsi="Arial" w:cs="Arial"/>
          <w:sz w:val="24"/>
          <w:szCs w:val="24"/>
          <w:lang w:val="en-US"/>
        </w:rPr>
        <w:t>After a brief overview of Social Security, whose main focus is the General Social Security System, the rules will be discussed imposed by Law 13.135 / 2015. The issue will center the reflection and questioning the changes in relation to the beneficiaries of the pension, especially the spouse and partner.</w:t>
      </w:r>
    </w:p>
    <w:p w:rsidR="0066353E" w:rsidRPr="00624D5A" w:rsidRDefault="0066353E" w:rsidP="00624D5A">
      <w:pPr>
        <w:spacing w:after="0" w:line="240" w:lineRule="auto"/>
        <w:jc w:val="both"/>
        <w:rPr>
          <w:rFonts w:ascii="Arial" w:hAnsi="Arial" w:cs="Arial"/>
          <w:sz w:val="24"/>
          <w:szCs w:val="24"/>
          <w:lang w:val="en-US"/>
        </w:rPr>
      </w:pPr>
    </w:p>
    <w:p w:rsidR="002977B9" w:rsidRPr="00624D5A" w:rsidRDefault="00ED5175" w:rsidP="00624D5A">
      <w:pPr>
        <w:spacing w:after="0" w:line="240" w:lineRule="auto"/>
        <w:jc w:val="both"/>
        <w:rPr>
          <w:rFonts w:ascii="Arial" w:hAnsi="Arial" w:cs="Arial"/>
          <w:sz w:val="24"/>
          <w:szCs w:val="24"/>
          <w:lang w:val="en-US"/>
        </w:rPr>
      </w:pPr>
      <w:r w:rsidRPr="00624D5A">
        <w:rPr>
          <w:rFonts w:ascii="Arial" w:hAnsi="Arial" w:cs="Arial"/>
          <w:b/>
          <w:sz w:val="24"/>
          <w:szCs w:val="24"/>
          <w:lang w:val="en-US"/>
        </w:rPr>
        <w:t>Keywords</w:t>
      </w:r>
      <w:r w:rsidRPr="00624D5A">
        <w:rPr>
          <w:rFonts w:ascii="Arial" w:hAnsi="Arial" w:cs="Arial"/>
          <w:sz w:val="24"/>
          <w:szCs w:val="24"/>
          <w:lang w:val="en-US"/>
        </w:rPr>
        <w:t xml:space="preserve">: </w:t>
      </w:r>
      <w:r w:rsidR="0066353E" w:rsidRPr="00624D5A">
        <w:rPr>
          <w:rFonts w:ascii="Arial" w:hAnsi="Arial" w:cs="Arial"/>
          <w:sz w:val="24"/>
          <w:szCs w:val="24"/>
          <w:lang w:val="en-US"/>
        </w:rPr>
        <w:t>social security; death pension; spouse.</w:t>
      </w:r>
    </w:p>
    <w:p w:rsidR="00CD369D" w:rsidRPr="00624D5A" w:rsidRDefault="00CD369D" w:rsidP="00624D5A">
      <w:pPr>
        <w:spacing w:after="0" w:line="240" w:lineRule="auto"/>
        <w:rPr>
          <w:rFonts w:ascii="Arial" w:hAnsi="Arial" w:cs="Arial"/>
          <w:sz w:val="24"/>
          <w:szCs w:val="24"/>
          <w:lang w:val="en-US"/>
        </w:rPr>
      </w:pPr>
    </w:p>
    <w:p w:rsidR="003E6202" w:rsidRPr="00624D5A" w:rsidRDefault="003E6202" w:rsidP="00624D5A">
      <w:pPr>
        <w:pStyle w:val="Ttulo1"/>
        <w:spacing w:before="0" w:after="0"/>
        <w:rPr>
          <w:szCs w:val="24"/>
        </w:rPr>
      </w:pPr>
      <w:r w:rsidRPr="00624D5A">
        <w:rPr>
          <w:szCs w:val="24"/>
        </w:rPr>
        <w:t>Introdução</w:t>
      </w:r>
    </w:p>
    <w:p w:rsidR="0066353E" w:rsidRPr="00624D5A" w:rsidRDefault="0066353E" w:rsidP="00624D5A">
      <w:pPr>
        <w:spacing w:after="0" w:line="240" w:lineRule="auto"/>
        <w:ind w:firstLine="851"/>
        <w:jc w:val="both"/>
        <w:rPr>
          <w:rFonts w:ascii="Arial" w:hAnsi="Arial" w:cs="Arial"/>
          <w:sz w:val="24"/>
          <w:szCs w:val="24"/>
        </w:rPr>
      </w:pPr>
      <w:r w:rsidRPr="00624D5A">
        <w:rPr>
          <w:rFonts w:ascii="Arial" w:hAnsi="Arial" w:cs="Arial"/>
          <w:sz w:val="24"/>
          <w:szCs w:val="24"/>
        </w:rPr>
        <w:t xml:space="preserve">É senso comum que a Previdência Social </w:t>
      </w:r>
      <w:r w:rsidR="00624D5A" w:rsidRPr="00624D5A">
        <w:rPr>
          <w:rFonts w:ascii="Arial" w:hAnsi="Arial" w:cs="Arial"/>
          <w:sz w:val="24"/>
          <w:szCs w:val="24"/>
        </w:rPr>
        <w:t>no Brasil</w:t>
      </w:r>
      <w:r w:rsidRPr="00624D5A">
        <w:rPr>
          <w:rFonts w:ascii="Arial" w:hAnsi="Arial" w:cs="Arial"/>
          <w:sz w:val="24"/>
          <w:szCs w:val="24"/>
        </w:rPr>
        <w:t xml:space="preserve"> necessita de reformas.</w:t>
      </w:r>
      <w:r w:rsidR="00624D5A" w:rsidRPr="00624D5A">
        <w:rPr>
          <w:rFonts w:ascii="Arial" w:hAnsi="Arial" w:cs="Arial"/>
          <w:sz w:val="24"/>
          <w:szCs w:val="24"/>
        </w:rPr>
        <w:t xml:space="preserve"> </w:t>
      </w:r>
      <w:r w:rsidRPr="00624D5A">
        <w:rPr>
          <w:rFonts w:ascii="Arial" w:hAnsi="Arial" w:cs="Arial"/>
          <w:sz w:val="24"/>
          <w:szCs w:val="24"/>
        </w:rPr>
        <w:t>A pensão por morte, dentre os benefícios concedidos pela Previdência Social, possui suma importância, na medida em que representa a proteção que, em vida, o segurado daria a seus dependentes. Além do impacto emocional, o beneficiário dependente será obrigado a lidar com os reveses financeiros decorrentes do óbito do segurado instituidor.</w:t>
      </w:r>
      <w:r w:rsidR="00624D5A" w:rsidRPr="00624D5A">
        <w:rPr>
          <w:rFonts w:ascii="Arial" w:hAnsi="Arial" w:cs="Arial"/>
          <w:sz w:val="24"/>
          <w:szCs w:val="24"/>
        </w:rPr>
        <w:t xml:space="preserve"> </w:t>
      </w:r>
      <w:r w:rsidRPr="00624D5A">
        <w:rPr>
          <w:rFonts w:ascii="Arial" w:hAnsi="Arial" w:cs="Arial"/>
          <w:sz w:val="24"/>
          <w:szCs w:val="24"/>
        </w:rPr>
        <w:t>Ao legislador, cabe promover a adequada equação entre o delicado equilíbrio financeiro do sistema e às reais necessidades dos beneficiários.</w:t>
      </w:r>
    </w:p>
    <w:p w:rsidR="0066353E" w:rsidRPr="00624D5A" w:rsidRDefault="0066353E" w:rsidP="00624D5A">
      <w:pPr>
        <w:spacing w:after="0" w:line="240" w:lineRule="auto"/>
        <w:ind w:firstLine="851"/>
        <w:jc w:val="both"/>
        <w:rPr>
          <w:rFonts w:ascii="Arial" w:hAnsi="Arial" w:cs="Arial"/>
          <w:sz w:val="24"/>
          <w:szCs w:val="24"/>
        </w:rPr>
      </w:pPr>
      <w:r w:rsidRPr="00624D5A">
        <w:rPr>
          <w:rFonts w:ascii="Arial" w:hAnsi="Arial" w:cs="Arial"/>
          <w:sz w:val="24"/>
          <w:szCs w:val="24"/>
        </w:rPr>
        <w:t xml:space="preserve"> Partindo dessa premissa, o atual governo apresentou novas regras, através da controvertida Medida Provisória 664/14, posteriormente convertida na Lei 13.135/15, ora vigente, que geraram significativas mudanças no sistema previdenciário</w:t>
      </w:r>
      <w:r w:rsidR="00624D5A" w:rsidRPr="00624D5A">
        <w:rPr>
          <w:rFonts w:ascii="Arial" w:hAnsi="Arial" w:cs="Arial"/>
          <w:sz w:val="24"/>
          <w:szCs w:val="24"/>
        </w:rPr>
        <w:t xml:space="preserve">. </w:t>
      </w:r>
      <w:r w:rsidRPr="00624D5A">
        <w:rPr>
          <w:rFonts w:ascii="Arial" w:hAnsi="Arial" w:cs="Arial"/>
          <w:sz w:val="24"/>
          <w:szCs w:val="24"/>
        </w:rPr>
        <w:t>A relevância do trabalho se reflete em analisar criticamente as substanciais alterações trazidas com a referida lei, enfocando as exigências para o recebimento e manutenção do benefício por parte do cônjuge/</w:t>
      </w:r>
      <w:proofErr w:type="gramStart"/>
      <w:r w:rsidRPr="00624D5A">
        <w:rPr>
          <w:rFonts w:ascii="Arial" w:hAnsi="Arial" w:cs="Arial"/>
          <w:sz w:val="24"/>
          <w:szCs w:val="24"/>
        </w:rPr>
        <w:t>companheiro(</w:t>
      </w:r>
      <w:proofErr w:type="gramEnd"/>
      <w:r w:rsidRPr="00624D5A">
        <w:rPr>
          <w:rFonts w:ascii="Arial" w:hAnsi="Arial" w:cs="Arial"/>
          <w:sz w:val="24"/>
          <w:szCs w:val="24"/>
        </w:rPr>
        <w:t>a) sobrevivente</w:t>
      </w:r>
      <w:r w:rsidR="00624D5A" w:rsidRPr="00624D5A">
        <w:rPr>
          <w:rFonts w:ascii="Arial" w:hAnsi="Arial" w:cs="Arial"/>
          <w:sz w:val="24"/>
          <w:szCs w:val="24"/>
        </w:rPr>
        <w:t xml:space="preserve">. </w:t>
      </w:r>
      <w:r w:rsidRPr="00624D5A">
        <w:rPr>
          <w:rFonts w:ascii="Arial" w:hAnsi="Arial" w:cs="Arial"/>
          <w:sz w:val="24"/>
          <w:szCs w:val="24"/>
        </w:rPr>
        <w:t>A preocupação com o tema previdenciário decorre das possíveis e danosas consequências aos beneficiários, a médio e a longo prazo, salientando a concepção da seguridade social como direito humano fundamental.</w:t>
      </w:r>
    </w:p>
    <w:p w:rsidR="0066353E" w:rsidRPr="00624D5A" w:rsidRDefault="00624D5A" w:rsidP="00624D5A">
      <w:pPr>
        <w:spacing w:after="0" w:line="240" w:lineRule="auto"/>
        <w:ind w:firstLine="851"/>
        <w:jc w:val="both"/>
        <w:rPr>
          <w:rFonts w:ascii="Arial" w:hAnsi="Arial" w:cs="Arial"/>
          <w:sz w:val="24"/>
          <w:szCs w:val="24"/>
        </w:rPr>
      </w:pPr>
      <w:r w:rsidRPr="00624D5A">
        <w:rPr>
          <w:rFonts w:ascii="Arial" w:hAnsi="Arial" w:cs="Arial"/>
          <w:sz w:val="24"/>
          <w:szCs w:val="24"/>
        </w:rPr>
        <w:t>S</w:t>
      </w:r>
      <w:r w:rsidR="0066353E" w:rsidRPr="00624D5A">
        <w:rPr>
          <w:rFonts w:ascii="Arial" w:hAnsi="Arial" w:cs="Arial"/>
          <w:sz w:val="24"/>
          <w:szCs w:val="24"/>
        </w:rPr>
        <w:t xml:space="preserve">erá feita uma abordagem </w:t>
      </w:r>
      <w:r w:rsidRPr="00624D5A">
        <w:rPr>
          <w:rFonts w:ascii="Arial" w:hAnsi="Arial" w:cs="Arial"/>
          <w:sz w:val="24"/>
          <w:szCs w:val="24"/>
        </w:rPr>
        <w:t xml:space="preserve">neste trabalho </w:t>
      </w:r>
      <w:r w:rsidR="0066353E" w:rsidRPr="00624D5A">
        <w:rPr>
          <w:rFonts w:ascii="Arial" w:hAnsi="Arial" w:cs="Arial"/>
          <w:sz w:val="24"/>
          <w:szCs w:val="24"/>
        </w:rPr>
        <w:t>sobre a pensão por morte, as condições para a concessão do benefício, bem como uma análise comparativa entre a Medida Provisória 664/14 e a Lei 13.135/15, apontando as novas regras e principais reflexos na concessão da pensão por morte aos beneficiários.</w:t>
      </w:r>
      <w:r w:rsidRPr="00624D5A">
        <w:rPr>
          <w:rFonts w:ascii="Arial" w:hAnsi="Arial" w:cs="Arial"/>
          <w:sz w:val="24"/>
          <w:szCs w:val="24"/>
        </w:rPr>
        <w:t xml:space="preserve"> Assim, o</w:t>
      </w:r>
      <w:r w:rsidR="0066353E" w:rsidRPr="00624D5A">
        <w:rPr>
          <w:rFonts w:ascii="Arial" w:hAnsi="Arial" w:cs="Arial"/>
          <w:sz w:val="24"/>
          <w:szCs w:val="24"/>
        </w:rPr>
        <w:t xml:space="preserve"> leitor será convidado a refletir acerca do tema proposto, no qual será feita uma abordagem crítica à recente Lei, bem como serão levantadas questões aparentemente olvidadas pelo legislador, que afrontam, em última instância, os princípios fundamentais consagrados na nossa Constituição.</w:t>
      </w:r>
    </w:p>
    <w:p w:rsidR="002C4E16" w:rsidRPr="00624D5A" w:rsidRDefault="002C4E16" w:rsidP="00624D5A">
      <w:pPr>
        <w:spacing w:after="0" w:line="240" w:lineRule="auto"/>
        <w:jc w:val="both"/>
        <w:rPr>
          <w:rFonts w:ascii="Arial" w:hAnsi="Arial" w:cs="Arial"/>
          <w:sz w:val="24"/>
          <w:szCs w:val="24"/>
        </w:rPr>
      </w:pPr>
    </w:p>
    <w:p w:rsidR="002449FC" w:rsidRPr="00624D5A" w:rsidRDefault="002449FC" w:rsidP="00624D5A">
      <w:pPr>
        <w:pStyle w:val="Ttulo1"/>
        <w:spacing w:before="0" w:after="0"/>
        <w:rPr>
          <w:szCs w:val="24"/>
        </w:rPr>
      </w:pPr>
      <w:r w:rsidRPr="00624D5A">
        <w:rPr>
          <w:szCs w:val="24"/>
        </w:rPr>
        <w:t>Metodologia e objetivos</w:t>
      </w:r>
    </w:p>
    <w:p w:rsidR="002449FC" w:rsidRPr="00624D5A" w:rsidRDefault="002449FC" w:rsidP="00624D5A">
      <w:pPr>
        <w:spacing w:after="0" w:line="240" w:lineRule="auto"/>
        <w:ind w:firstLine="851"/>
        <w:jc w:val="both"/>
        <w:rPr>
          <w:rFonts w:ascii="Arial" w:eastAsia="Arial" w:hAnsi="Arial" w:cs="Arial"/>
          <w:sz w:val="24"/>
          <w:szCs w:val="24"/>
        </w:rPr>
      </w:pPr>
      <w:r w:rsidRPr="00624D5A">
        <w:rPr>
          <w:rFonts w:ascii="Arial" w:eastAsia="Arial" w:hAnsi="Arial" w:cs="Arial"/>
          <w:sz w:val="24"/>
          <w:szCs w:val="24"/>
        </w:rPr>
        <w:t xml:space="preserve">Será trabalhado por uma perspectiva doutrinária-legal, portanto de natureza bibliográfica, com </w:t>
      </w:r>
      <w:proofErr w:type="gramStart"/>
      <w:r w:rsidRPr="00624D5A">
        <w:rPr>
          <w:rFonts w:ascii="Arial" w:eastAsia="Arial" w:hAnsi="Arial" w:cs="Arial"/>
          <w:sz w:val="24"/>
          <w:szCs w:val="24"/>
        </w:rPr>
        <w:t>nuances empíricos extraídos a partir de análise de casos particulares noticiados em meios de comunicação</w:t>
      </w:r>
      <w:proofErr w:type="gramEnd"/>
      <w:r w:rsidRPr="00624D5A">
        <w:rPr>
          <w:rFonts w:ascii="Arial" w:eastAsia="Arial" w:hAnsi="Arial" w:cs="Arial"/>
          <w:sz w:val="24"/>
          <w:szCs w:val="24"/>
        </w:rPr>
        <w:t>. O método será o dedutivo-subjetivo, já que se passa por uma abordagem inicialmente conceitual para constatação de problemáticas particulares.</w:t>
      </w:r>
    </w:p>
    <w:p w:rsidR="002449FC" w:rsidRPr="00624D5A" w:rsidRDefault="002449FC" w:rsidP="00624D5A">
      <w:pPr>
        <w:spacing w:after="0" w:line="240" w:lineRule="auto"/>
        <w:ind w:firstLine="851"/>
        <w:jc w:val="both"/>
        <w:rPr>
          <w:rFonts w:ascii="Arial" w:eastAsia="Arial" w:hAnsi="Arial" w:cs="Arial"/>
          <w:sz w:val="24"/>
          <w:szCs w:val="24"/>
        </w:rPr>
      </w:pPr>
      <w:r w:rsidRPr="00624D5A">
        <w:rPr>
          <w:rFonts w:ascii="Arial" w:eastAsia="Arial" w:hAnsi="Arial" w:cs="Arial"/>
          <w:sz w:val="24"/>
          <w:szCs w:val="24"/>
        </w:rPr>
        <w:t xml:space="preserve">O objetivo </w:t>
      </w:r>
      <w:proofErr w:type="gramStart"/>
      <w:r w:rsidRPr="00624D5A">
        <w:rPr>
          <w:rFonts w:ascii="Arial" w:eastAsia="Arial" w:hAnsi="Arial" w:cs="Arial"/>
          <w:sz w:val="24"/>
          <w:szCs w:val="24"/>
        </w:rPr>
        <w:t xml:space="preserve">deste estudo </w:t>
      </w:r>
      <w:r w:rsidR="00624D5A" w:rsidRPr="00624D5A">
        <w:rPr>
          <w:rFonts w:ascii="Arial" w:eastAsia="Arial" w:hAnsi="Arial" w:cs="Arial"/>
          <w:sz w:val="24"/>
          <w:szCs w:val="24"/>
        </w:rPr>
        <w:t>analisar</w:t>
      </w:r>
      <w:proofErr w:type="gramEnd"/>
      <w:r w:rsidR="00624D5A" w:rsidRPr="00624D5A">
        <w:rPr>
          <w:rFonts w:ascii="Arial" w:eastAsia="Arial" w:hAnsi="Arial" w:cs="Arial"/>
          <w:sz w:val="24"/>
          <w:szCs w:val="24"/>
        </w:rPr>
        <w:t xml:space="preserve"> algumas mudanças previdenciárias profundas ocorridas em relação ao benefício pensão por morte, por força da lei 13.135/15.</w:t>
      </w:r>
    </w:p>
    <w:p w:rsidR="002C4E16" w:rsidRPr="00624D5A" w:rsidRDefault="002C4E16" w:rsidP="00624D5A">
      <w:pPr>
        <w:spacing w:after="0" w:line="240" w:lineRule="auto"/>
        <w:ind w:firstLine="851"/>
        <w:jc w:val="both"/>
        <w:rPr>
          <w:rFonts w:ascii="Arial" w:hAnsi="Arial" w:cs="Arial"/>
          <w:sz w:val="24"/>
          <w:szCs w:val="24"/>
        </w:rPr>
      </w:pPr>
    </w:p>
    <w:p w:rsidR="00BB53E6" w:rsidRPr="00624D5A" w:rsidRDefault="0066353E" w:rsidP="00624D5A">
      <w:pPr>
        <w:pStyle w:val="Ttulo1"/>
        <w:spacing w:before="0" w:after="0"/>
        <w:rPr>
          <w:szCs w:val="24"/>
        </w:rPr>
      </w:pPr>
      <w:r w:rsidRPr="00624D5A">
        <w:rPr>
          <w:szCs w:val="24"/>
        </w:rPr>
        <w:t>Pensão por morte</w:t>
      </w:r>
    </w:p>
    <w:p w:rsidR="00624D5A" w:rsidRPr="00624D5A" w:rsidRDefault="0066353E" w:rsidP="00624D5A">
      <w:pPr>
        <w:spacing w:after="0" w:line="240" w:lineRule="auto"/>
        <w:ind w:firstLine="851"/>
        <w:jc w:val="both"/>
        <w:rPr>
          <w:rFonts w:ascii="Arial" w:hAnsi="Arial" w:cs="Arial"/>
          <w:sz w:val="24"/>
          <w:szCs w:val="24"/>
        </w:rPr>
      </w:pPr>
      <w:r w:rsidRPr="00624D5A">
        <w:rPr>
          <w:rFonts w:ascii="Arial" w:hAnsi="Arial" w:cs="Arial"/>
          <w:sz w:val="24"/>
          <w:szCs w:val="24"/>
        </w:rPr>
        <w:t xml:space="preserve">O instinto protetivo do ser humano é atávico. É notório que o homem, desde as mais antigas civilizações, protege instintivamente tudo o que julga importante. A preocupação em proteger seus entes queridos, seus descendentes, é ancestral. A </w:t>
      </w:r>
      <w:r w:rsidRPr="00624D5A">
        <w:rPr>
          <w:rFonts w:ascii="Arial" w:hAnsi="Arial" w:cs="Arial"/>
          <w:sz w:val="24"/>
          <w:szCs w:val="24"/>
        </w:rPr>
        <w:lastRenderedPageBreak/>
        <w:t xml:space="preserve">morte, nada mais é do que a constatação fática de ocorrência de um infortúnio que, como consequência, traduz carência, tanto emocional como financeira daqueles que </w:t>
      </w:r>
      <w:proofErr w:type="gramStart"/>
      <w:r w:rsidRPr="00624D5A">
        <w:rPr>
          <w:rFonts w:ascii="Arial" w:hAnsi="Arial" w:cs="Arial"/>
          <w:sz w:val="24"/>
          <w:szCs w:val="24"/>
        </w:rPr>
        <w:t>dependiam,</w:t>
      </w:r>
      <w:proofErr w:type="gramEnd"/>
      <w:r w:rsidRPr="00624D5A">
        <w:rPr>
          <w:rFonts w:ascii="Arial" w:hAnsi="Arial" w:cs="Arial"/>
          <w:sz w:val="24"/>
          <w:szCs w:val="24"/>
        </w:rPr>
        <w:t xml:space="preserve"> de algum modo, da pessoa falecida.</w:t>
      </w:r>
    </w:p>
    <w:p w:rsidR="0066353E" w:rsidRPr="00624D5A" w:rsidRDefault="0066353E" w:rsidP="00624D5A">
      <w:pPr>
        <w:spacing w:after="0" w:line="240" w:lineRule="auto"/>
        <w:ind w:firstLine="851"/>
        <w:jc w:val="both"/>
        <w:rPr>
          <w:rFonts w:ascii="Arial" w:hAnsi="Arial" w:cs="Arial"/>
          <w:sz w:val="24"/>
          <w:szCs w:val="24"/>
        </w:rPr>
      </w:pPr>
      <w:r w:rsidRPr="00624D5A">
        <w:rPr>
          <w:rFonts w:ascii="Arial" w:hAnsi="Arial" w:cs="Arial"/>
          <w:sz w:val="24"/>
          <w:szCs w:val="24"/>
        </w:rPr>
        <w:t xml:space="preserve">Como entendido </w:t>
      </w:r>
      <w:r w:rsidR="00624D5A" w:rsidRPr="00624D5A">
        <w:rPr>
          <w:rFonts w:ascii="Arial" w:hAnsi="Arial" w:cs="Arial"/>
          <w:sz w:val="24"/>
          <w:szCs w:val="24"/>
        </w:rPr>
        <w:t>a partir do</w:t>
      </w:r>
      <w:r w:rsidRPr="00624D5A">
        <w:rPr>
          <w:rFonts w:ascii="Arial" w:hAnsi="Arial" w:cs="Arial"/>
          <w:sz w:val="24"/>
          <w:szCs w:val="24"/>
        </w:rPr>
        <w:t xml:space="preserve"> conceito de previdência - no sentido de precaução, cuidado; e dependência, no sentido de subordinação, seja financeira ou</w:t>
      </w:r>
      <w:r w:rsidR="00624D5A" w:rsidRPr="00624D5A">
        <w:rPr>
          <w:rFonts w:ascii="Arial" w:hAnsi="Arial" w:cs="Arial"/>
          <w:sz w:val="24"/>
          <w:szCs w:val="24"/>
        </w:rPr>
        <w:t xml:space="preserve"> de qualquer outra ordem</w:t>
      </w:r>
      <w:r w:rsidR="00624D5A">
        <w:rPr>
          <w:rFonts w:ascii="Arial" w:hAnsi="Arial" w:cs="Arial"/>
          <w:sz w:val="24"/>
          <w:szCs w:val="24"/>
        </w:rPr>
        <w:t xml:space="preserve"> -</w:t>
      </w:r>
      <w:r w:rsidR="00624D5A" w:rsidRPr="00624D5A">
        <w:rPr>
          <w:rFonts w:ascii="Arial" w:hAnsi="Arial" w:cs="Arial"/>
          <w:sz w:val="24"/>
          <w:szCs w:val="24"/>
        </w:rPr>
        <w:t xml:space="preserve"> passa-se</w:t>
      </w:r>
      <w:r w:rsidRPr="00624D5A">
        <w:rPr>
          <w:rFonts w:ascii="Arial" w:hAnsi="Arial" w:cs="Arial"/>
          <w:sz w:val="24"/>
          <w:szCs w:val="24"/>
        </w:rPr>
        <w:t xml:space="preserve"> à análise do benefício de Pensão por Morte.</w:t>
      </w:r>
      <w:r w:rsidR="00624D5A" w:rsidRPr="00624D5A">
        <w:rPr>
          <w:rFonts w:ascii="Arial" w:hAnsi="Arial" w:cs="Arial"/>
          <w:sz w:val="24"/>
          <w:szCs w:val="24"/>
        </w:rPr>
        <w:t xml:space="preserve"> </w:t>
      </w:r>
      <w:r w:rsidRPr="00624D5A">
        <w:rPr>
          <w:rFonts w:ascii="Arial" w:hAnsi="Arial" w:cs="Arial"/>
          <w:sz w:val="24"/>
          <w:szCs w:val="24"/>
        </w:rPr>
        <w:t>Nas palavras de Wladimir Novaes Martinez, pensão por morte, é o benefício previdenciário de prestação continuada devido aos dependentes do segurado que vier a falecer. É benefício “</w:t>
      </w:r>
      <w:proofErr w:type="spellStart"/>
      <w:r w:rsidRPr="00624D5A">
        <w:rPr>
          <w:rFonts w:ascii="Arial" w:hAnsi="Arial" w:cs="Arial"/>
          <w:i/>
          <w:sz w:val="24"/>
          <w:szCs w:val="24"/>
        </w:rPr>
        <w:t>substituidor</w:t>
      </w:r>
      <w:proofErr w:type="spellEnd"/>
      <w:r w:rsidRPr="00624D5A">
        <w:rPr>
          <w:rFonts w:ascii="Arial" w:hAnsi="Arial" w:cs="Arial"/>
          <w:i/>
          <w:sz w:val="24"/>
          <w:szCs w:val="24"/>
        </w:rPr>
        <w:t xml:space="preserve"> da remuneração do segurado falecido (provedor), devido aos seus dependentes</w:t>
      </w:r>
      <w:r w:rsidRPr="00624D5A">
        <w:rPr>
          <w:rFonts w:ascii="Arial" w:hAnsi="Arial" w:cs="Arial"/>
          <w:sz w:val="24"/>
          <w:szCs w:val="24"/>
        </w:rPr>
        <w:t>”</w:t>
      </w:r>
      <w:r w:rsidR="00624D5A">
        <w:rPr>
          <w:rFonts w:ascii="Arial" w:hAnsi="Arial" w:cs="Arial"/>
          <w:sz w:val="24"/>
          <w:szCs w:val="24"/>
        </w:rPr>
        <w:t xml:space="preserve"> </w:t>
      </w:r>
      <w:proofErr w:type="gramStart"/>
      <w:r w:rsidR="00624D5A">
        <w:rPr>
          <w:rFonts w:ascii="Arial" w:hAnsi="Arial" w:cs="Arial"/>
          <w:sz w:val="24"/>
          <w:szCs w:val="24"/>
        </w:rPr>
        <w:t>(</w:t>
      </w:r>
      <w:r w:rsidR="00624D5A" w:rsidRPr="00624D5A">
        <w:rPr>
          <w:rFonts w:ascii="Arial" w:hAnsi="Arial" w:cs="Arial"/>
          <w:sz w:val="24"/>
          <w:szCs w:val="24"/>
        </w:rPr>
        <w:t>MARTINEZ</w:t>
      </w:r>
      <w:r w:rsidR="00624D5A">
        <w:rPr>
          <w:rStyle w:val="Refdenotaderodap"/>
          <w:rFonts w:ascii="Arial" w:hAnsi="Arial" w:cs="Arial"/>
          <w:sz w:val="24"/>
          <w:szCs w:val="24"/>
          <w:vertAlign w:val="baseline"/>
        </w:rPr>
        <w:t>, 2001, p. 450)</w:t>
      </w:r>
      <w:r w:rsidRPr="00624D5A">
        <w:rPr>
          <w:rFonts w:ascii="Arial" w:hAnsi="Arial" w:cs="Arial"/>
          <w:sz w:val="24"/>
          <w:szCs w:val="24"/>
        </w:rPr>
        <w:t>.</w:t>
      </w:r>
      <w:proofErr w:type="gramEnd"/>
      <w:r w:rsidRPr="00624D5A">
        <w:rPr>
          <w:rFonts w:ascii="Arial" w:hAnsi="Arial" w:cs="Arial"/>
          <w:sz w:val="24"/>
          <w:szCs w:val="24"/>
        </w:rPr>
        <w:t xml:space="preserve"> </w:t>
      </w:r>
    </w:p>
    <w:p w:rsidR="0066353E" w:rsidRPr="00624D5A" w:rsidRDefault="0066353E" w:rsidP="00624D5A">
      <w:pPr>
        <w:shd w:val="clear" w:color="auto" w:fill="FFFFFF"/>
        <w:spacing w:after="0" w:line="240" w:lineRule="auto"/>
        <w:ind w:firstLine="851"/>
        <w:jc w:val="both"/>
        <w:rPr>
          <w:rFonts w:ascii="Arial" w:eastAsia="Times New Roman" w:hAnsi="Arial" w:cs="Arial"/>
          <w:sz w:val="24"/>
          <w:szCs w:val="24"/>
        </w:rPr>
      </w:pPr>
      <w:r w:rsidRPr="00624D5A">
        <w:rPr>
          <w:rFonts w:ascii="Arial" w:eastAsia="Times New Roman" w:hAnsi="Arial" w:cs="Arial"/>
          <w:sz w:val="24"/>
          <w:szCs w:val="24"/>
        </w:rPr>
        <w:t xml:space="preserve">A pensão por morte é direcionada aos dependentes do segurado e estão diretamente a ele relacionados. No entendimento </w:t>
      </w:r>
      <w:r w:rsidR="00624D5A">
        <w:rPr>
          <w:rFonts w:ascii="Arial" w:eastAsia="Times New Roman" w:hAnsi="Arial" w:cs="Arial"/>
          <w:sz w:val="24"/>
          <w:szCs w:val="24"/>
        </w:rPr>
        <w:t xml:space="preserve">de </w:t>
      </w:r>
      <w:r w:rsidRPr="00624D5A">
        <w:rPr>
          <w:rFonts w:ascii="Arial" w:eastAsia="Times New Roman" w:hAnsi="Arial" w:cs="Arial"/>
          <w:sz w:val="24"/>
          <w:szCs w:val="24"/>
        </w:rPr>
        <w:t xml:space="preserve">Melissa </w:t>
      </w:r>
      <w:proofErr w:type="spellStart"/>
      <w:r w:rsidRPr="00624D5A">
        <w:rPr>
          <w:rFonts w:ascii="Arial" w:eastAsia="Times New Roman" w:hAnsi="Arial" w:cs="Arial"/>
          <w:sz w:val="24"/>
          <w:szCs w:val="24"/>
        </w:rPr>
        <w:t>Folmann</w:t>
      </w:r>
      <w:proofErr w:type="spellEnd"/>
      <w:r w:rsidRPr="00624D5A">
        <w:rPr>
          <w:rFonts w:ascii="Arial" w:eastAsia="Times New Roman" w:hAnsi="Arial" w:cs="Arial"/>
          <w:sz w:val="24"/>
          <w:szCs w:val="24"/>
        </w:rPr>
        <w:t>, toda a pessoa que ficasse desamparada financeiramente quando da ocorrência da morte do segurado, deve ser tutelada pelo seguro social.</w:t>
      </w:r>
      <w:r w:rsidR="00624D5A">
        <w:rPr>
          <w:rFonts w:ascii="Arial" w:eastAsia="Times New Roman" w:hAnsi="Arial" w:cs="Arial"/>
          <w:sz w:val="24"/>
          <w:szCs w:val="24"/>
        </w:rPr>
        <w:t xml:space="preserve"> </w:t>
      </w:r>
      <w:r w:rsidRPr="00624D5A">
        <w:rPr>
          <w:rFonts w:ascii="Arial" w:hAnsi="Arial" w:cs="Arial"/>
          <w:sz w:val="24"/>
          <w:szCs w:val="24"/>
        </w:rPr>
        <w:t>O Estado elegeu, em obediência ao princípio da seletividade, quais os riscos sociais dos dependentes em relação ao segurado que seriam objeto de tutela, concluindo pela cobertura em caso de morte e de reclusão. No caso de morte de um segurado, há presunção de que seus dependentes estariam privados de seu sustento e/ou col</w:t>
      </w:r>
      <w:r w:rsidR="00624D5A">
        <w:rPr>
          <w:rFonts w:ascii="Arial" w:hAnsi="Arial" w:cs="Arial"/>
          <w:sz w:val="24"/>
          <w:szCs w:val="24"/>
        </w:rPr>
        <w:t>aboração financeira do segurado</w:t>
      </w:r>
      <w:r w:rsidRPr="00624D5A">
        <w:rPr>
          <w:rFonts w:ascii="Arial" w:eastAsia="Times New Roman" w:hAnsi="Arial" w:cs="Arial"/>
          <w:sz w:val="24"/>
          <w:szCs w:val="24"/>
        </w:rPr>
        <w:t xml:space="preserve"> (FOLMANN, 2015).</w:t>
      </w:r>
    </w:p>
    <w:p w:rsidR="0066353E" w:rsidRPr="00624D5A" w:rsidRDefault="0066353E" w:rsidP="00624D5A">
      <w:pPr>
        <w:pStyle w:val="NormalWeb"/>
        <w:spacing w:before="0" w:beforeAutospacing="0" w:after="0" w:afterAutospacing="0"/>
        <w:ind w:firstLine="851"/>
        <w:jc w:val="both"/>
        <w:rPr>
          <w:rFonts w:ascii="Arial" w:hAnsi="Arial" w:cs="Arial"/>
        </w:rPr>
      </w:pPr>
      <w:r w:rsidRPr="00624D5A">
        <w:rPr>
          <w:rFonts w:ascii="Arial" w:hAnsi="Arial" w:cs="Arial"/>
        </w:rPr>
        <w:t xml:space="preserve">Para Wagner </w:t>
      </w:r>
      <w:proofErr w:type="spellStart"/>
      <w:r w:rsidRPr="00624D5A">
        <w:rPr>
          <w:rFonts w:ascii="Arial" w:hAnsi="Arial" w:cs="Arial"/>
        </w:rPr>
        <w:t>Balera</w:t>
      </w:r>
      <w:proofErr w:type="spellEnd"/>
      <w:r w:rsidRPr="00624D5A">
        <w:rPr>
          <w:rFonts w:ascii="Arial" w:hAnsi="Arial" w:cs="Arial"/>
        </w:rPr>
        <w:t>, pensão por morte é definida como o benefício devido ao conjunto dos dependentes do segurado falecido, que corresponde a 100% (cem por cento) do valor da aposentadoria que o segurado percebia que teria direito no momento do óbito</w:t>
      </w:r>
      <w:r w:rsidR="00624D5A">
        <w:rPr>
          <w:rFonts w:ascii="Arial" w:hAnsi="Arial" w:cs="Arial"/>
        </w:rPr>
        <w:t xml:space="preserve"> (</w:t>
      </w:r>
      <w:r w:rsidR="003B7CA9" w:rsidRPr="003B7CA9">
        <w:rPr>
          <w:rFonts w:ascii="Arial" w:hAnsi="Arial" w:cs="Arial"/>
        </w:rPr>
        <w:t>BERWANGER</w:t>
      </w:r>
      <w:r w:rsidR="003B7CA9">
        <w:rPr>
          <w:rFonts w:ascii="Arial" w:hAnsi="Arial" w:cs="Arial"/>
        </w:rPr>
        <w:t xml:space="preserve"> </w:t>
      </w:r>
      <w:r w:rsidR="003B7CA9" w:rsidRPr="003B7CA9">
        <w:rPr>
          <w:rFonts w:ascii="Arial" w:hAnsi="Arial" w:cs="Arial"/>
        </w:rPr>
        <w:t>coord.</w:t>
      </w:r>
      <w:r w:rsidR="003B7CA9">
        <w:rPr>
          <w:rFonts w:ascii="Arial" w:hAnsi="Arial" w:cs="Arial"/>
        </w:rPr>
        <w:t>, et. al.</w:t>
      </w:r>
      <w:r w:rsidR="00624D5A">
        <w:rPr>
          <w:rFonts w:ascii="Arial" w:hAnsi="Arial" w:cs="Arial"/>
        </w:rPr>
        <w:t xml:space="preserve">, 2015, p. </w:t>
      </w:r>
      <w:r w:rsidR="003B7CA9">
        <w:rPr>
          <w:rFonts w:ascii="Arial" w:hAnsi="Arial" w:cs="Arial"/>
        </w:rPr>
        <w:t>113</w:t>
      </w:r>
      <w:r w:rsidR="00624D5A">
        <w:rPr>
          <w:rFonts w:ascii="Arial" w:hAnsi="Arial" w:cs="Arial"/>
        </w:rPr>
        <w:t>)</w:t>
      </w:r>
      <w:r w:rsidRPr="00624D5A">
        <w:rPr>
          <w:rFonts w:ascii="Arial" w:hAnsi="Arial" w:cs="Arial"/>
        </w:rPr>
        <w:t>.</w:t>
      </w:r>
      <w:r w:rsidR="003B7CA9">
        <w:rPr>
          <w:rFonts w:ascii="Arial" w:hAnsi="Arial" w:cs="Arial"/>
        </w:rPr>
        <w:t xml:space="preserve"> </w:t>
      </w:r>
      <w:r w:rsidRPr="00624D5A">
        <w:rPr>
          <w:rFonts w:ascii="Arial" w:hAnsi="Arial" w:cs="Arial"/>
        </w:rPr>
        <w:t>Gustavo Filipe Barbosa Garcia</w:t>
      </w:r>
      <w:r w:rsidR="003B7CA9">
        <w:rPr>
          <w:rFonts w:ascii="Arial" w:hAnsi="Arial" w:cs="Arial"/>
        </w:rPr>
        <w:t xml:space="preserve"> complementa afirmando que </w:t>
      </w:r>
      <w:r w:rsidRPr="00624D5A">
        <w:rPr>
          <w:rFonts w:ascii="Arial" w:hAnsi="Arial" w:cs="Arial"/>
        </w:rPr>
        <w:t>a Constituição de 1988 preconiza que a Previdência Social deve cobrir o evento morte, que é entendida como contingência social, através da concessão da pensão, ao cônjuge ou companheiro e dependentes, sendo vedado o recebimento de valor inferior a um salário mínimo. Trata-se, portanto, de um benefício destinado aos dependentes do segurado</w:t>
      </w:r>
      <w:r w:rsidR="003B7CA9">
        <w:rPr>
          <w:rFonts w:ascii="Arial" w:hAnsi="Arial" w:cs="Arial"/>
        </w:rPr>
        <w:t xml:space="preserve"> </w:t>
      </w:r>
      <w:r w:rsidR="003B7CA9" w:rsidRPr="003B7CA9">
        <w:rPr>
          <w:rFonts w:ascii="Arial" w:hAnsi="Arial" w:cs="Arial"/>
        </w:rPr>
        <w:t xml:space="preserve">(BERWANGER coord., et. al., 2015, p. </w:t>
      </w:r>
      <w:r w:rsidR="003B7CA9">
        <w:rPr>
          <w:rFonts w:ascii="Arial" w:hAnsi="Arial" w:cs="Arial"/>
        </w:rPr>
        <w:t>215</w:t>
      </w:r>
      <w:r w:rsidR="003B7CA9" w:rsidRPr="003B7CA9">
        <w:rPr>
          <w:rFonts w:ascii="Arial" w:hAnsi="Arial" w:cs="Arial"/>
        </w:rPr>
        <w:t>)</w:t>
      </w:r>
      <w:r w:rsidRPr="00624D5A">
        <w:rPr>
          <w:rFonts w:ascii="Arial" w:hAnsi="Arial" w:cs="Arial"/>
        </w:rPr>
        <w:t>.</w:t>
      </w:r>
    </w:p>
    <w:p w:rsidR="0066353E" w:rsidRPr="00624D5A" w:rsidRDefault="0066353E" w:rsidP="00624D5A">
      <w:pPr>
        <w:pStyle w:val="NormalWeb"/>
        <w:spacing w:before="0" w:beforeAutospacing="0" w:after="0" w:afterAutospacing="0"/>
        <w:ind w:firstLine="851"/>
        <w:jc w:val="both"/>
        <w:rPr>
          <w:rFonts w:ascii="Arial" w:hAnsi="Arial" w:cs="Arial"/>
        </w:rPr>
      </w:pPr>
      <w:r w:rsidRPr="00624D5A">
        <w:rPr>
          <w:rFonts w:ascii="Arial" w:hAnsi="Arial" w:cs="Arial"/>
        </w:rPr>
        <w:t>A comprovação da qualidade de dependente para o cônjuge se faz pela apresentação da Certidão de Casamento e a data da celebração será verificada para análise do tempo de manutenção do benefício.</w:t>
      </w:r>
      <w:r w:rsidR="003B7CA9">
        <w:rPr>
          <w:rFonts w:ascii="Arial" w:hAnsi="Arial" w:cs="Arial"/>
        </w:rPr>
        <w:t xml:space="preserve"> </w:t>
      </w:r>
      <w:r w:rsidRPr="00624D5A">
        <w:rPr>
          <w:rFonts w:ascii="Arial" w:hAnsi="Arial" w:cs="Arial"/>
        </w:rPr>
        <w:t>No tocante à questão do companheiro, a Constituição Federal de 1988 reconheceu expressamente a união estável (</w:t>
      </w:r>
      <w:proofErr w:type="spellStart"/>
      <w:r w:rsidRPr="00624D5A">
        <w:rPr>
          <w:rFonts w:ascii="Arial" w:hAnsi="Arial" w:cs="Arial"/>
        </w:rPr>
        <w:t>art</w:t>
      </w:r>
      <w:proofErr w:type="spellEnd"/>
      <w:r w:rsidRPr="00624D5A">
        <w:rPr>
          <w:rFonts w:ascii="Arial" w:hAnsi="Arial" w:cs="Arial"/>
        </w:rPr>
        <w:t xml:space="preserve"> 226, parágrafo 3º), sendo </w:t>
      </w:r>
      <w:proofErr w:type="gramStart"/>
      <w:r w:rsidRPr="00624D5A">
        <w:rPr>
          <w:rFonts w:ascii="Arial" w:hAnsi="Arial" w:cs="Arial"/>
        </w:rPr>
        <w:t>definida no art</w:t>
      </w:r>
      <w:r w:rsidR="003B7CA9">
        <w:rPr>
          <w:rFonts w:ascii="Arial" w:hAnsi="Arial" w:cs="Arial"/>
        </w:rPr>
        <w:t>.</w:t>
      </w:r>
      <w:proofErr w:type="gramEnd"/>
      <w:r w:rsidRPr="00624D5A">
        <w:rPr>
          <w:rFonts w:ascii="Arial" w:hAnsi="Arial" w:cs="Arial"/>
        </w:rPr>
        <w:t xml:space="preserve"> 1</w:t>
      </w:r>
      <w:r w:rsidR="003B7CA9">
        <w:rPr>
          <w:rFonts w:ascii="Arial" w:hAnsi="Arial" w:cs="Arial"/>
        </w:rPr>
        <w:t>.</w:t>
      </w:r>
      <w:r w:rsidRPr="00624D5A">
        <w:rPr>
          <w:rFonts w:ascii="Arial" w:hAnsi="Arial" w:cs="Arial"/>
        </w:rPr>
        <w:t>723 do Código Civil de 2002, como convivência pública, contínua, duradoura, sem impedimentos matrimoniais e com inten</w:t>
      </w:r>
      <w:r w:rsidR="003B7CA9">
        <w:rPr>
          <w:rFonts w:ascii="Arial" w:hAnsi="Arial" w:cs="Arial"/>
        </w:rPr>
        <w:t>ção de constituição de família.</w:t>
      </w:r>
    </w:p>
    <w:p w:rsidR="0066353E" w:rsidRPr="00624D5A" w:rsidRDefault="0066353E" w:rsidP="00624D5A">
      <w:pPr>
        <w:pStyle w:val="NormalWeb"/>
        <w:spacing w:before="0" w:beforeAutospacing="0" w:after="0" w:afterAutospacing="0"/>
        <w:ind w:firstLine="851"/>
        <w:jc w:val="both"/>
        <w:rPr>
          <w:rFonts w:ascii="Arial" w:hAnsi="Arial" w:cs="Arial"/>
        </w:rPr>
      </w:pPr>
      <w:proofErr w:type="spellStart"/>
      <w:r w:rsidRPr="00624D5A">
        <w:rPr>
          <w:rFonts w:ascii="Arial" w:hAnsi="Arial" w:cs="Arial"/>
        </w:rPr>
        <w:t>Folmann</w:t>
      </w:r>
      <w:proofErr w:type="spellEnd"/>
      <w:r w:rsidRPr="00624D5A">
        <w:rPr>
          <w:rFonts w:ascii="Arial" w:hAnsi="Arial" w:cs="Arial"/>
        </w:rPr>
        <w:t xml:space="preserve"> ressalta, igualmente, a questão das uniões </w:t>
      </w:r>
      <w:proofErr w:type="spellStart"/>
      <w:r w:rsidRPr="00624D5A">
        <w:rPr>
          <w:rFonts w:ascii="Arial" w:hAnsi="Arial" w:cs="Arial"/>
        </w:rPr>
        <w:t>homoafetivas</w:t>
      </w:r>
      <w:proofErr w:type="spellEnd"/>
      <w:r w:rsidRPr="00624D5A">
        <w:rPr>
          <w:rFonts w:ascii="Arial" w:hAnsi="Arial" w:cs="Arial"/>
        </w:rPr>
        <w:t xml:space="preserve">, reconhecidas como entidade familiar no julgamento da ADI n. 4277 em 04.05.2011, sendo oportuno mencionar, que o Direito Previdenciário foi o primeiro a reconhecer os direitos dos pares </w:t>
      </w:r>
      <w:proofErr w:type="spellStart"/>
      <w:r w:rsidRPr="00624D5A">
        <w:rPr>
          <w:rFonts w:ascii="Arial" w:hAnsi="Arial" w:cs="Arial"/>
        </w:rPr>
        <w:t>homoafetivos</w:t>
      </w:r>
      <w:proofErr w:type="spellEnd"/>
      <w:r w:rsidRPr="00624D5A">
        <w:rPr>
          <w:rFonts w:ascii="Arial" w:hAnsi="Arial" w:cs="Arial"/>
        </w:rPr>
        <w:t>, por meio da ACP 2000.71.00.009347-0 da 3ª Vara Previdenciária de Porto Alegre, Seção Judiciária do Rio Grande do Sul. (FOLMANN, 2015).</w:t>
      </w:r>
    </w:p>
    <w:p w:rsidR="0066353E" w:rsidRPr="00624D5A" w:rsidRDefault="0066353E" w:rsidP="00624D5A">
      <w:pPr>
        <w:pStyle w:val="NormalWeb"/>
        <w:spacing w:before="0" w:beforeAutospacing="0" w:after="0" w:afterAutospacing="0"/>
        <w:ind w:firstLine="851"/>
        <w:jc w:val="both"/>
        <w:rPr>
          <w:rFonts w:ascii="Arial" w:hAnsi="Arial" w:cs="Arial"/>
          <w:b/>
        </w:rPr>
      </w:pPr>
      <w:r w:rsidRPr="00624D5A">
        <w:rPr>
          <w:rFonts w:ascii="Arial" w:hAnsi="Arial" w:cs="Arial"/>
        </w:rPr>
        <w:t xml:space="preserve">Assim, no caso do </w:t>
      </w:r>
      <w:proofErr w:type="gramStart"/>
      <w:r w:rsidRPr="00624D5A">
        <w:rPr>
          <w:rFonts w:ascii="Arial" w:hAnsi="Arial" w:cs="Arial"/>
        </w:rPr>
        <w:t>companheiro(</w:t>
      </w:r>
      <w:proofErr w:type="gramEnd"/>
      <w:r w:rsidRPr="00624D5A">
        <w:rPr>
          <w:rFonts w:ascii="Arial" w:hAnsi="Arial" w:cs="Arial"/>
        </w:rPr>
        <w:t xml:space="preserve">a), a prova de dependência econômica se faz, em âmbito administrativo, com a apresentação de, no mínimo, três dos documentos arrolados no artigo 22 do Decreto 3048/99. Podemos citar alguns exemplos de documentos hábeis a comprovar a existência de união estável e a consequente dependência econômica, tais como: Certidão de Nascimento de filho havido em comum, declaração de imposto de renda do segurado, que conste o companheiro (a) como seu dependente, disposições testamentárias, conta bancária </w:t>
      </w:r>
      <w:r w:rsidRPr="00624D5A">
        <w:rPr>
          <w:rFonts w:ascii="Arial" w:hAnsi="Arial" w:cs="Arial"/>
        </w:rPr>
        <w:lastRenderedPageBreak/>
        <w:t>conjunta, entre outros elementos que levem à convicção da existência da convivência more uxório por ocasião do óbito do instituidor.</w:t>
      </w:r>
    </w:p>
    <w:p w:rsidR="0066353E" w:rsidRPr="00624D5A" w:rsidRDefault="0066353E" w:rsidP="003B7CA9">
      <w:pPr>
        <w:pStyle w:val="NormalWeb"/>
        <w:spacing w:before="0" w:beforeAutospacing="0" w:after="0" w:afterAutospacing="0"/>
        <w:ind w:firstLine="851"/>
        <w:jc w:val="both"/>
        <w:rPr>
          <w:rFonts w:ascii="Arial" w:hAnsi="Arial" w:cs="Arial"/>
        </w:rPr>
      </w:pPr>
      <w:r w:rsidRPr="00624D5A">
        <w:rPr>
          <w:rFonts w:ascii="Arial" w:hAnsi="Arial" w:cs="Arial"/>
        </w:rPr>
        <w:t xml:space="preserve">Insta salientar que a complementação da prova poderá ser efetuada mediante realização de Justificação Administrativa, com depoimento de testemunhas, consoante preconiza o </w:t>
      </w:r>
      <w:proofErr w:type="spellStart"/>
      <w:r w:rsidRPr="00624D5A">
        <w:rPr>
          <w:rFonts w:ascii="Arial" w:hAnsi="Arial" w:cs="Arial"/>
        </w:rPr>
        <w:t>art</w:t>
      </w:r>
      <w:proofErr w:type="spellEnd"/>
      <w:r w:rsidRPr="00624D5A">
        <w:rPr>
          <w:rFonts w:ascii="Arial" w:hAnsi="Arial" w:cs="Arial"/>
        </w:rPr>
        <w:t xml:space="preserve"> 142 do Decreto 3048/99.</w:t>
      </w:r>
      <w:r w:rsidR="003B7CA9">
        <w:rPr>
          <w:rFonts w:ascii="Arial" w:hAnsi="Arial" w:cs="Arial"/>
        </w:rPr>
        <w:t xml:space="preserve"> </w:t>
      </w:r>
      <w:r w:rsidRPr="00624D5A">
        <w:rPr>
          <w:rFonts w:ascii="Arial" w:hAnsi="Arial" w:cs="Arial"/>
        </w:rPr>
        <w:t>Vale ressaltar que a dependência econômica não precisa ser de modo absoluto e pode ocorrer de modo relativo também, e deve ser caracterizada como uma ajuda constante e habitual, cuja cessação afeta a</w:t>
      </w:r>
      <w:r w:rsidR="003B7CA9">
        <w:rPr>
          <w:rFonts w:ascii="Arial" w:hAnsi="Arial" w:cs="Arial"/>
        </w:rPr>
        <w:t xml:space="preserve"> manutenção daquele dependente. </w:t>
      </w:r>
      <w:r w:rsidRPr="00624D5A">
        <w:rPr>
          <w:rFonts w:ascii="Arial" w:hAnsi="Arial" w:cs="Arial"/>
        </w:rPr>
        <w:t>Nesse sentido, o Enunciado n. 13 do Conselho de Recursos da Previdência Social emitiu o seguinte entendimento: “</w:t>
      </w:r>
      <w:r w:rsidRPr="003B7CA9">
        <w:rPr>
          <w:rFonts w:ascii="Arial" w:hAnsi="Arial" w:cs="Arial"/>
          <w:i/>
        </w:rPr>
        <w:t>A dependência econômica pode ser parcial, devendo, no entanto, representar um auxílio substancial, permanente e necessário, cuja falta acarretaria desequilíbrio dos meios de subsistência do dependente</w:t>
      </w:r>
      <w:proofErr w:type="gramStart"/>
      <w:r w:rsidRPr="00624D5A">
        <w:rPr>
          <w:rFonts w:ascii="Arial" w:hAnsi="Arial" w:cs="Arial"/>
        </w:rPr>
        <w:t>”</w:t>
      </w:r>
      <w:proofErr w:type="gramEnd"/>
      <w:r w:rsidRPr="00624D5A">
        <w:rPr>
          <w:rStyle w:val="Refdenotaderodap"/>
          <w:rFonts w:ascii="Arial" w:eastAsiaTheme="majorEastAsia" w:hAnsi="Arial" w:cs="Arial"/>
        </w:rPr>
        <w:footnoteReference w:id="4"/>
      </w:r>
      <w:r w:rsidRPr="00624D5A">
        <w:rPr>
          <w:rFonts w:ascii="Arial" w:hAnsi="Arial" w:cs="Arial"/>
        </w:rPr>
        <w:t xml:space="preserve"> </w:t>
      </w:r>
    </w:p>
    <w:p w:rsidR="0066353E" w:rsidRPr="00624D5A" w:rsidRDefault="0066353E" w:rsidP="00624D5A">
      <w:pPr>
        <w:spacing w:after="0" w:line="240" w:lineRule="auto"/>
        <w:ind w:firstLine="851"/>
        <w:jc w:val="both"/>
        <w:rPr>
          <w:rFonts w:ascii="Arial" w:eastAsia="Times New Roman" w:hAnsi="Arial" w:cs="Arial"/>
          <w:sz w:val="24"/>
          <w:szCs w:val="24"/>
        </w:rPr>
      </w:pPr>
      <w:r w:rsidRPr="00624D5A">
        <w:rPr>
          <w:rFonts w:ascii="Arial" w:hAnsi="Arial" w:cs="Arial"/>
          <w:sz w:val="24"/>
          <w:szCs w:val="24"/>
        </w:rPr>
        <w:t xml:space="preserve"> Para Melissa </w:t>
      </w:r>
      <w:proofErr w:type="spellStart"/>
      <w:r w:rsidRPr="00624D5A">
        <w:rPr>
          <w:rFonts w:ascii="Arial" w:hAnsi="Arial" w:cs="Arial"/>
          <w:sz w:val="24"/>
          <w:szCs w:val="24"/>
        </w:rPr>
        <w:t>Folmann</w:t>
      </w:r>
      <w:proofErr w:type="spellEnd"/>
      <w:r w:rsidRPr="00624D5A">
        <w:rPr>
          <w:rFonts w:ascii="Arial" w:hAnsi="Arial" w:cs="Arial"/>
          <w:sz w:val="24"/>
          <w:szCs w:val="24"/>
        </w:rPr>
        <w:t>, a</w:t>
      </w:r>
      <w:r w:rsidRPr="00624D5A">
        <w:rPr>
          <w:rFonts w:ascii="Arial" w:eastAsia="Times New Roman" w:hAnsi="Arial" w:cs="Arial"/>
          <w:sz w:val="24"/>
          <w:szCs w:val="24"/>
        </w:rPr>
        <w:t>s classes possuem, portanto, três regras básicas: a exclusividade de classe preferencial, a concorrência de dependentes da mesma classe e a presunção de dependência econômica na 1ª classe (FOLMANN, 2015</w:t>
      </w:r>
      <w:r w:rsidR="003B7CA9">
        <w:rPr>
          <w:rFonts w:ascii="Arial" w:eastAsia="Times New Roman" w:hAnsi="Arial" w:cs="Arial"/>
          <w:sz w:val="24"/>
          <w:szCs w:val="24"/>
        </w:rPr>
        <w:t>, p. 211 e ss.</w:t>
      </w:r>
      <w:r w:rsidRPr="00624D5A">
        <w:rPr>
          <w:rFonts w:ascii="Arial" w:eastAsia="Times New Roman" w:hAnsi="Arial" w:cs="Arial"/>
          <w:sz w:val="24"/>
          <w:szCs w:val="24"/>
        </w:rPr>
        <w:t>).</w:t>
      </w:r>
      <w:r w:rsidR="003B7CA9">
        <w:rPr>
          <w:rFonts w:ascii="Arial" w:eastAsia="Times New Roman" w:hAnsi="Arial" w:cs="Arial"/>
          <w:sz w:val="24"/>
          <w:szCs w:val="24"/>
        </w:rPr>
        <w:t xml:space="preserve"> </w:t>
      </w:r>
      <w:r w:rsidRPr="00624D5A">
        <w:rPr>
          <w:rFonts w:ascii="Arial" w:eastAsia="Times New Roman" w:hAnsi="Arial" w:cs="Arial"/>
          <w:sz w:val="24"/>
          <w:szCs w:val="24"/>
        </w:rPr>
        <w:t>Fabio Ibrahim salienta que a existência de um dependente de hierarquia superior exclui o direito dos dependentes inferiores e, na hipótese de existência de dependentes na mesma categoria, o benefício será dividido em partes iguais (IBRAHIM, 2015)</w:t>
      </w:r>
      <w:r w:rsidR="003B7CA9">
        <w:rPr>
          <w:rFonts w:ascii="Arial" w:eastAsia="Times New Roman" w:hAnsi="Arial" w:cs="Arial"/>
          <w:sz w:val="24"/>
          <w:szCs w:val="24"/>
        </w:rPr>
        <w:t>.</w:t>
      </w:r>
    </w:p>
    <w:p w:rsidR="0066353E" w:rsidRPr="00624D5A" w:rsidRDefault="0066353E" w:rsidP="00624D5A">
      <w:pPr>
        <w:spacing w:after="0" w:line="240" w:lineRule="auto"/>
        <w:ind w:firstLine="851"/>
        <w:jc w:val="both"/>
        <w:rPr>
          <w:rFonts w:ascii="Arial" w:eastAsia="Times New Roman" w:hAnsi="Arial" w:cs="Arial"/>
          <w:sz w:val="24"/>
          <w:szCs w:val="24"/>
        </w:rPr>
      </w:pPr>
      <w:r w:rsidRPr="00624D5A">
        <w:rPr>
          <w:rFonts w:ascii="Arial" w:eastAsia="Times New Roman" w:hAnsi="Arial" w:cs="Arial"/>
          <w:sz w:val="24"/>
          <w:szCs w:val="24"/>
        </w:rPr>
        <w:t xml:space="preserve">Segundo aponta </w:t>
      </w:r>
      <w:proofErr w:type="spellStart"/>
      <w:r w:rsidRPr="00624D5A">
        <w:rPr>
          <w:rFonts w:ascii="Arial" w:eastAsia="Times New Roman" w:hAnsi="Arial" w:cs="Arial"/>
          <w:sz w:val="24"/>
          <w:szCs w:val="24"/>
        </w:rPr>
        <w:t>Folmann</w:t>
      </w:r>
      <w:proofErr w:type="spellEnd"/>
      <w:r w:rsidRPr="00624D5A">
        <w:rPr>
          <w:rFonts w:ascii="Arial" w:eastAsia="Times New Roman" w:hAnsi="Arial" w:cs="Arial"/>
          <w:sz w:val="24"/>
          <w:szCs w:val="24"/>
        </w:rPr>
        <w:t>, a regra que concerne às classes de preferência significa que, na hipótese de existência de um dependente de 1ª classe, não se cogita o direito dos dependentes das classes inferiores. Quanto à concorrência de dependentes da mesma classe importa dizer que, caso haja dependentes pertencentes à mesma classe, cada um receberá uma cota igual. Já, no tocante à análise dos dependentes de 1ª classe, se presume a dependência do cônjuge não divorciado e não separado judicialmente ou de fato; do companheiro ou companheira; do filho não emancipado de qualquer condição, menor de 21 anos ou inválido ou que possua deficiência intelectual ou mental que o torne absoluta ou relativamente incapaz, assim declarado judicialmente</w:t>
      </w:r>
      <w:r w:rsidR="003B7CA9">
        <w:rPr>
          <w:rFonts w:ascii="Arial" w:eastAsia="Times New Roman" w:hAnsi="Arial" w:cs="Arial"/>
          <w:sz w:val="24"/>
          <w:szCs w:val="24"/>
        </w:rPr>
        <w:t xml:space="preserve"> </w:t>
      </w:r>
      <w:r w:rsidRPr="00624D5A">
        <w:rPr>
          <w:rFonts w:ascii="Arial" w:eastAsia="Times New Roman" w:hAnsi="Arial" w:cs="Arial"/>
          <w:sz w:val="24"/>
          <w:szCs w:val="24"/>
        </w:rPr>
        <w:t>(FOLMANN, 2015</w:t>
      </w:r>
      <w:r w:rsidR="003B7CA9">
        <w:rPr>
          <w:rFonts w:ascii="Arial" w:eastAsia="Times New Roman" w:hAnsi="Arial" w:cs="Arial"/>
          <w:sz w:val="24"/>
          <w:szCs w:val="24"/>
        </w:rPr>
        <w:t>, p. 210 e ss.</w:t>
      </w:r>
      <w:r w:rsidRPr="00624D5A">
        <w:rPr>
          <w:rFonts w:ascii="Arial" w:eastAsia="Times New Roman" w:hAnsi="Arial" w:cs="Arial"/>
          <w:sz w:val="24"/>
          <w:szCs w:val="24"/>
        </w:rPr>
        <w:t>).</w:t>
      </w:r>
    </w:p>
    <w:p w:rsidR="0066353E" w:rsidRPr="00624D5A" w:rsidRDefault="0066353E" w:rsidP="00624D5A">
      <w:pPr>
        <w:spacing w:after="0" w:line="240" w:lineRule="auto"/>
        <w:ind w:firstLine="851"/>
        <w:jc w:val="both"/>
        <w:rPr>
          <w:rFonts w:ascii="Arial" w:eastAsia="Times New Roman" w:hAnsi="Arial" w:cs="Arial"/>
          <w:sz w:val="24"/>
          <w:szCs w:val="24"/>
        </w:rPr>
      </w:pPr>
      <w:r w:rsidRPr="00624D5A">
        <w:rPr>
          <w:rFonts w:ascii="Arial" w:eastAsia="Times New Roman" w:hAnsi="Arial" w:cs="Arial"/>
          <w:sz w:val="24"/>
          <w:szCs w:val="24"/>
        </w:rPr>
        <w:t xml:space="preserve">Outra regra pertinente ao recebimento de pensão diz respeito à exigência da qualidade de segurado do instituidor quando do óbito, salvo na hipótese de preenchimento dos requisitos para a obtenção da aposentadoria, na forma preconizada no </w:t>
      </w:r>
      <w:proofErr w:type="spellStart"/>
      <w:r w:rsidRPr="00624D5A">
        <w:rPr>
          <w:rFonts w:ascii="Arial" w:eastAsia="Times New Roman" w:hAnsi="Arial" w:cs="Arial"/>
          <w:sz w:val="24"/>
          <w:szCs w:val="24"/>
        </w:rPr>
        <w:t>art</w:t>
      </w:r>
      <w:proofErr w:type="spellEnd"/>
      <w:r w:rsidRPr="00624D5A">
        <w:rPr>
          <w:rFonts w:ascii="Arial" w:eastAsia="Times New Roman" w:hAnsi="Arial" w:cs="Arial"/>
          <w:sz w:val="24"/>
          <w:szCs w:val="24"/>
        </w:rPr>
        <w:t xml:space="preserve"> 102 da Lei 8213/91</w:t>
      </w:r>
      <w:r w:rsidR="003B7CA9">
        <w:rPr>
          <w:rFonts w:ascii="Arial" w:eastAsia="Times New Roman" w:hAnsi="Arial" w:cs="Arial"/>
          <w:sz w:val="24"/>
          <w:szCs w:val="24"/>
        </w:rPr>
        <w:t xml:space="preserve"> (GARCIA, </w:t>
      </w:r>
      <w:r w:rsidR="003B7CA9" w:rsidRPr="003B7CA9">
        <w:rPr>
          <w:rFonts w:ascii="Arial" w:eastAsia="Times New Roman" w:hAnsi="Arial" w:cs="Arial"/>
          <w:sz w:val="24"/>
          <w:szCs w:val="24"/>
        </w:rPr>
        <w:t>BERWANGER</w:t>
      </w:r>
      <w:r w:rsidR="003B7CA9">
        <w:rPr>
          <w:rFonts w:ascii="Arial" w:eastAsia="Times New Roman" w:hAnsi="Arial" w:cs="Arial"/>
          <w:sz w:val="24"/>
          <w:szCs w:val="24"/>
        </w:rPr>
        <w:t xml:space="preserve"> coord., et. al., 2015, p. 215)</w:t>
      </w:r>
      <w:r w:rsidRPr="00624D5A">
        <w:rPr>
          <w:rFonts w:ascii="Arial" w:eastAsia="Times New Roman" w:hAnsi="Arial" w:cs="Arial"/>
          <w:sz w:val="24"/>
          <w:szCs w:val="24"/>
        </w:rPr>
        <w:t xml:space="preserve">. </w:t>
      </w:r>
    </w:p>
    <w:p w:rsidR="002C4E16" w:rsidRPr="00624D5A" w:rsidRDefault="002C4E16" w:rsidP="00624D5A">
      <w:pPr>
        <w:spacing w:after="0" w:line="240" w:lineRule="auto"/>
        <w:ind w:firstLine="709"/>
        <w:jc w:val="both"/>
        <w:rPr>
          <w:rFonts w:ascii="Arial" w:eastAsia="Times New Roman" w:hAnsi="Arial" w:cs="Arial"/>
          <w:sz w:val="24"/>
          <w:szCs w:val="24"/>
        </w:rPr>
      </w:pPr>
    </w:p>
    <w:p w:rsidR="001E293C" w:rsidRPr="00624D5A" w:rsidRDefault="002C4E16" w:rsidP="00624D5A">
      <w:pPr>
        <w:pStyle w:val="Ttulo1"/>
        <w:spacing w:before="0" w:after="0"/>
        <w:rPr>
          <w:szCs w:val="24"/>
        </w:rPr>
      </w:pPr>
      <w:r w:rsidRPr="00624D5A">
        <w:rPr>
          <w:szCs w:val="24"/>
        </w:rPr>
        <w:t>AS MUDANÇAS PROVOCADAS PELA MP 664/14 E DA LEI 13.135/2015 NO BENEFICIO DE PENSÃO POR MORTE</w:t>
      </w:r>
    </w:p>
    <w:p w:rsidR="003B7CA9" w:rsidRPr="003B7CA9" w:rsidRDefault="002C4E16" w:rsidP="003B7CA9">
      <w:pPr>
        <w:pStyle w:val="NormalWeb"/>
        <w:spacing w:before="0" w:beforeAutospacing="0" w:after="0" w:afterAutospacing="0"/>
        <w:ind w:firstLine="851"/>
        <w:jc w:val="both"/>
        <w:rPr>
          <w:rFonts w:ascii="Arial" w:hAnsi="Arial" w:cs="Arial"/>
        </w:rPr>
      </w:pPr>
      <w:r w:rsidRPr="00624D5A">
        <w:rPr>
          <w:rFonts w:ascii="Arial" w:hAnsi="Arial" w:cs="Arial"/>
        </w:rPr>
        <w:t>A Medida Provisória, por sua vez, é um instrumento dotado de força legal, pelo chefe do Poder Executivo, em casos de relevância e urgência, com prazo de vigência de sessenta dias, podendo ser prorrogado por mais sessenta, dependente, porém de aprovação pelo Congresso Nacional, para ser transformada em lei, consoante definição contida no site da Câmara dos Deputados</w:t>
      </w:r>
      <w:r w:rsidRPr="00624D5A">
        <w:rPr>
          <w:rStyle w:val="Refdenotaderodap"/>
          <w:rFonts w:ascii="Arial" w:eastAsiaTheme="majorEastAsia" w:hAnsi="Arial" w:cs="Arial"/>
        </w:rPr>
        <w:footnoteReference w:id="5"/>
      </w:r>
      <w:r w:rsidR="003B7CA9">
        <w:rPr>
          <w:rFonts w:ascii="Arial" w:hAnsi="Arial" w:cs="Arial"/>
        </w:rPr>
        <w:t xml:space="preserve">. </w:t>
      </w:r>
      <w:r w:rsidR="003B7CA9" w:rsidRPr="003B7CA9">
        <w:rPr>
          <w:rFonts w:ascii="Arial" w:hAnsi="Arial" w:cs="Arial"/>
        </w:rPr>
        <w:t xml:space="preserve">Cabe esclarecer, de início, que consoante preconiza os </w:t>
      </w:r>
      <w:proofErr w:type="spellStart"/>
      <w:r w:rsidR="003B7CA9" w:rsidRPr="003B7CA9">
        <w:rPr>
          <w:rFonts w:ascii="Arial" w:hAnsi="Arial" w:cs="Arial"/>
        </w:rPr>
        <w:t>arts</w:t>
      </w:r>
      <w:proofErr w:type="spellEnd"/>
      <w:r w:rsidR="003B7CA9" w:rsidRPr="003B7CA9">
        <w:rPr>
          <w:rFonts w:ascii="Arial" w:hAnsi="Arial" w:cs="Arial"/>
        </w:rPr>
        <w:t xml:space="preserve">. </w:t>
      </w:r>
      <w:proofErr w:type="gramStart"/>
      <w:r w:rsidR="003B7CA9" w:rsidRPr="003B7CA9">
        <w:rPr>
          <w:rFonts w:ascii="Arial" w:hAnsi="Arial" w:cs="Arial"/>
        </w:rPr>
        <w:t>2º, 59 e 61 da Constituição Federal, cabe</w:t>
      </w:r>
      <w:proofErr w:type="gramEnd"/>
      <w:r w:rsidR="003B7CA9" w:rsidRPr="003B7CA9">
        <w:rPr>
          <w:rFonts w:ascii="Arial" w:hAnsi="Arial" w:cs="Arial"/>
        </w:rPr>
        <w:t xml:space="preserve"> ao </w:t>
      </w:r>
      <w:r w:rsidR="003B7CA9" w:rsidRPr="003B7CA9">
        <w:rPr>
          <w:rFonts w:ascii="Arial" w:hAnsi="Arial" w:cs="Arial"/>
        </w:rPr>
        <w:lastRenderedPageBreak/>
        <w:t xml:space="preserve">Congresso Nacional, composto pela Câmara dos Deputados e pelo Senado, a função de editar leis no Brasil </w:t>
      </w:r>
      <w:r w:rsidR="003B7CA9" w:rsidRPr="003B7CA9">
        <w:rPr>
          <w:rFonts w:ascii="Arial" w:hAnsi="Arial" w:cs="Arial"/>
          <w:vertAlign w:val="superscript"/>
        </w:rPr>
        <w:footnoteReference w:id="6"/>
      </w:r>
      <w:r w:rsidR="003B7CA9" w:rsidRPr="003B7CA9">
        <w:rPr>
          <w:rFonts w:ascii="Arial" w:hAnsi="Arial" w:cs="Arial"/>
        </w:rPr>
        <w:t xml:space="preserve">. </w:t>
      </w:r>
    </w:p>
    <w:p w:rsidR="002C4E16" w:rsidRPr="00624D5A" w:rsidRDefault="002C4E16" w:rsidP="00624D5A">
      <w:pPr>
        <w:pStyle w:val="NormalWeb"/>
        <w:spacing w:before="0" w:beforeAutospacing="0" w:after="0" w:afterAutospacing="0"/>
        <w:ind w:firstLine="851"/>
        <w:jc w:val="both"/>
        <w:rPr>
          <w:rFonts w:ascii="Arial" w:hAnsi="Arial" w:cs="Arial"/>
        </w:rPr>
      </w:pPr>
      <w:r w:rsidRPr="00624D5A">
        <w:rPr>
          <w:rFonts w:ascii="Arial" w:hAnsi="Arial" w:cs="Arial"/>
        </w:rPr>
        <w:t>Em 30.12.14, a Presidente editou a MP 664/14, (posteriormente convertida na Lei 13.135/15) e que promoveu profundas alterações no sistema previdenciário, ao alterar critérios de concessão de alguns benefícios do Regime Geral de Previdência Social, em especial a aposentadoria por invalidez, o auxílio doença e a pensão por morte.</w:t>
      </w:r>
    </w:p>
    <w:p w:rsidR="002C4E16" w:rsidRPr="00624D5A" w:rsidRDefault="002C4E16" w:rsidP="00624D5A">
      <w:pPr>
        <w:spacing w:after="0" w:line="240" w:lineRule="auto"/>
        <w:ind w:firstLine="851"/>
        <w:jc w:val="both"/>
        <w:rPr>
          <w:rFonts w:ascii="Arial" w:hAnsi="Arial" w:cs="Arial"/>
          <w:sz w:val="24"/>
          <w:szCs w:val="24"/>
        </w:rPr>
      </w:pPr>
      <w:r w:rsidRPr="00624D5A">
        <w:rPr>
          <w:rFonts w:ascii="Arial" w:hAnsi="Arial" w:cs="Arial"/>
          <w:sz w:val="24"/>
          <w:szCs w:val="24"/>
        </w:rPr>
        <w:t xml:space="preserve">Ressalte-se que as mudanças a serem citadas se limitam ao quesito do recebimento da pensão por morte, não sendo abrangidos, neste estudo, os benefícios de auxílio doença e aposentadoria por invalidez, que, igualmente sofreram significativas alterações. </w:t>
      </w:r>
    </w:p>
    <w:p w:rsidR="003B7CA9" w:rsidRDefault="002C4E16" w:rsidP="00624D5A">
      <w:pPr>
        <w:pStyle w:val="NormalWeb"/>
        <w:spacing w:before="0" w:beforeAutospacing="0" w:after="0" w:afterAutospacing="0"/>
        <w:ind w:firstLine="851"/>
        <w:jc w:val="both"/>
        <w:rPr>
          <w:rFonts w:ascii="Arial" w:hAnsi="Arial" w:cs="Arial"/>
        </w:rPr>
      </w:pPr>
      <w:r w:rsidRPr="00624D5A">
        <w:rPr>
          <w:rFonts w:ascii="Arial" w:hAnsi="Arial" w:cs="Arial"/>
        </w:rPr>
        <w:t xml:space="preserve">No entendimento </w:t>
      </w:r>
      <w:r w:rsidR="003B7CA9">
        <w:rPr>
          <w:rFonts w:ascii="Arial" w:hAnsi="Arial" w:cs="Arial"/>
        </w:rPr>
        <w:t xml:space="preserve">de </w:t>
      </w:r>
      <w:r w:rsidRPr="00624D5A">
        <w:rPr>
          <w:rFonts w:ascii="Arial" w:hAnsi="Arial" w:cs="Arial"/>
        </w:rPr>
        <w:t xml:space="preserve">Melissa </w:t>
      </w:r>
      <w:proofErr w:type="spellStart"/>
      <w:r w:rsidRPr="00624D5A">
        <w:rPr>
          <w:rFonts w:ascii="Arial" w:hAnsi="Arial" w:cs="Arial"/>
        </w:rPr>
        <w:t>Folmann</w:t>
      </w:r>
      <w:proofErr w:type="spellEnd"/>
      <w:r w:rsidRPr="00624D5A">
        <w:rPr>
          <w:rFonts w:ascii="Arial" w:hAnsi="Arial" w:cs="Arial"/>
        </w:rPr>
        <w:t>, com a conversão da referida MP na Lei 13.135/15, foram evitadas maiores discussões com a sociedade e com entidades de cunho científico previdenciário, tendo em vista que o limite para a aprovação da Medida Provisória era em 02.06.15</w:t>
      </w:r>
      <w:r w:rsidR="003B7CA9">
        <w:rPr>
          <w:rFonts w:ascii="Arial" w:hAnsi="Arial" w:cs="Arial"/>
        </w:rPr>
        <w:t xml:space="preserve"> (FOLMANN, 2015, p. 215)</w:t>
      </w:r>
      <w:r w:rsidRPr="00624D5A">
        <w:rPr>
          <w:rFonts w:ascii="Arial" w:hAnsi="Arial" w:cs="Arial"/>
        </w:rPr>
        <w:t>. Ainda assim, prossegue, tal fato foi suficiente para uma grande alteração nas regras unilateralmente impostas pelo Poder Executivo.</w:t>
      </w:r>
    </w:p>
    <w:p w:rsidR="002C4E16" w:rsidRPr="00624D5A" w:rsidRDefault="002C4E16" w:rsidP="00624D5A">
      <w:pPr>
        <w:pStyle w:val="NormalWeb"/>
        <w:spacing w:before="0" w:beforeAutospacing="0" w:after="0" w:afterAutospacing="0"/>
        <w:ind w:firstLine="851"/>
        <w:jc w:val="both"/>
        <w:rPr>
          <w:rFonts w:ascii="Arial" w:hAnsi="Arial" w:cs="Arial"/>
        </w:rPr>
      </w:pPr>
      <w:r w:rsidRPr="00624D5A">
        <w:rPr>
          <w:rFonts w:ascii="Arial" w:hAnsi="Arial" w:cs="Arial"/>
        </w:rPr>
        <w:t xml:space="preserve">A pensão por morte, na visão </w:t>
      </w:r>
      <w:r w:rsidR="000049FC">
        <w:rPr>
          <w:rFonts w:ascii="Arial" w:hAnsi="Arial" w:cs="Arial"/>
        </w:rPr>
        <w:t xml:space="preserve">de </w:t>
      </w:r>
      <w:r w:rsidRPr="00624D5A">
        <w:rPr>
          <w:rFonts w:ascii="Arial" w:hAnsi="Arial" w:cs="Arial"/>
        </w:rPr>
        <w:t>Gisele Jucá</w:t>
      </w:r>
      <w:r w:rsidR="000049FC">
        <w:rPr>
          <w:rFonts w:ascii="Arial" w:hAnsi="Arial" w:cs="Arial"/>
        </w:rPr>
        <w:t xml:space="preserve"> (</w:t>
      </w:r>
      <w:r w:rsidR="000049FC" w:rsidRPr="000049FC">
        <w:rPr>
          <w:rFonts w:ascii="Arial" w:hAnsi="Arial" w:cs="Arial"/>
        </w:rPr>
        <w:t>BERWA</w:t>
      </w:r>
      <w:r w:rsidR="000049FC">
        <w:rPr>
          <w:rFonts w:ascii="Arial" w:hAnsi="Arial" w:cs="Arial"/>
        </w:rPr>
        <w:t>NGER coord., et. al., 2015, p. 195)</w:t>
      </w:r>
      <w:r w:rsidRPr="00624D5A">
        <w:rPr>
          <w:rFonts w:ascii="Arial" w:hAnsi="Arial" w:cs="Arial"/>
        </w:rPr>
        <w:t>, foi um dos benefícios que mais sofreram modificações contidas na Medida Provisória n. 664/14, atingindo as Leis 8</w:t>
      </w:r>
      <w:r w:rsidR="000049FC">
        <w:rPr>
          <w:rFonts w:ascii="Arial" w:hAnsi="Arial" w:cs="Arial"/>
        </w:rPr>
        <w:t>.</w:t>
      </w:r>
      <w:r w:rsidRPr="00624D5A">
        <w:rPr>
          <w:rFonts w:ascii="Arial" w:hAnsi="Arial" w:cs="Arial"/>
        </w:rPr>
        <w:t>213/91 e 8</w:t>
      </w:r>
      <w:r w:rsidR="000049FC">
        <w:rPr>
          <w:rFonts w:ascii="Arial" w:hAnsi="Arial" w:cs="Arial"/>
        </w:rPr>
        <w:t>.</w:t>
      </w:r>
      <w:r w:rsidRPr="00624D5A">
        <w:rPr>
          <w:rFonts w:ascii="Arial" w:hAnsi="Arial" w:cs="Arial"/>
        </w:rPr>
        <w:t>212/90. Segundo a autora, a justificativa governamental para a urgência das alterações propostas na referida Medida Provisória, seria, em um primeiro momento, em virtude do crescimento desordenado com o benefício no país, o aumento da expectativa de vida dos brasileiros, bem como a possibilidade de fruição vitalícia da pensão por morte. No seu ponto de vista, muito embora a proposta emanasse do desafio de manter a regra constitucional de equilíbrio financeiro e atuarial, as justificativas apresentadas por parte do Poder Executivo, foram movidas por circunstâncias políticas conjunturais, ao invés da própria melhoria do sistema previdenciário no país.</w:t>
      </w:r>
    </w:p>
    <w:p w:rsidR="002C4E16" w:rsidRPr="00624D5A" w:rsidRDefault="002C4E16" w:rsidP="00624D5A">
      <w:pPr>
        <w:pStyle w:val="NormalWeb"/>
        <w:spacing w:before="0" w:beforeAutospacing="0" w:after="0" w:afterAutospacing="0"/>
        <w:ind w:firstLine="851"/>
        <w:jc w:val="both"/>
        <w:rPr>
          <w:rFonts w:ascii="Arial" w:hAnsi="Arial" w:cs="Arial"/>
        </w:rPr>
      </w:pPr>
      <w:r w:rsidRPr="00624D5A">
        <w:rPr>
          <w:rFonts w:ascii="Arial" w:hAnsi="Arial" w:cs="Arial"/>
        </w:rPr>
        <w:t>Com a edição da Lei 13</w:t>
      </w:r>
      <w:r w:rsidR="000049FC">
        <w:rPr>
          <w:rFonts w:ascii="Arial" w:hAnsi="Arial" w:cs="Arial"/>
        </w:rPr>
        <w:t>.</w:t>
      </w:r>
      <w:r w:rsidRPr="00624D5A">
        <w:rPr>
          <w:rFonts w:ascii="Arial" w:hAnsi="Arial" w:cs="Arial"/>
        </w:rPr>
        <w:t xml:space="preserve">135/15, entraram em vigor novas exigências que dizem respeito às regras diferenciadas para a pensão em favor do cônjuge ou companheiro do segurado falecido. A primeira se refere à exigência de dois anos de casamento ou união estável com o segurado instituidor, anteriores ao óbito e a segunda, ao recolhimento de </w:t>
      </w:r>
      <w:r w:rsidR="000049FC">
        <w:rPr>
          <w:rFonts w:ascii="Arial" w:hAnsi="Arial" w:cs="Arial"/>
        </w:rPr>
        <w:t>dezoito</w:t>
      </w:r>
      <w:r w:rsidRPr="00624D5A">
        <w:rPr>
          <w:rFonts w:ascii="Arial" w:hAnsi="Arial" w:cs="Arial"/>
        </w:rPr>
        <w:t xml:space="preserve"> contribuições mensais pelo segurado antes do falecimento. Tal exigência encontra-se disposta no art</w:t>
      </w:r>
      <w:r w:rsidR="000049FC">
        <w:rPr>
          <w:rFonts w:ascii="Arial" w:hAnsi="Arial" w:cs="Arial"/>
        </w:rPr>
        <w:t>.</w:t>
      </w:r>
      <w:r w:rsidRPr="00624D5A">
        <w:rPr>
          <w:rFonts w:ascii="Arial" w:hAnsi="Arial" w:cs="Arial"/>
        </w:rPr>
        <w:t xml:space="preserve"> 77, </w:t>
      </w:r>
      <w:r w:rsidR="000049FC">
        <w:rPr>
          <w:rFonts w:ascii="Arial" w:hAnsi="Arial" w:cs="Arial"/>
        </w:rPr>
        <w:t>§</w:t>
      </w:r>
      <w:r w:rsidRPr="00624D5A">
        <w:rPr>
          <w:rFonts w:ascii="Arial" w:hAnsi="Arial" w:cs="Arial"/>
        </w:rPr>
        <w:t xml:space="preserve"> 2º, V, </w:t>
      </w:r>
      <w:r w:rsidR="000049FC">
        <w:rPr>
          <w:rFonts w:ascii="Arial" w:hAnsi="Arial" w:cs="Arial"/>
        </w:rPr>
        <w:t>b</w:t>
      </w:r>
      <w:r w:rsidRPr="00624D5A">
        <w:rPr>
          <w:rFonts w:ascii="Arial" w:hAnsi="Arial" w:cs="Arial"/>
        </w:rPr>
        <w:t xml:space="preserve"> da Lei 8</w:t>
      </w:r>
      <w:r w:rsidR="000049FC">
        <w:rPr>
          <w:rFonts w:ascii="Arial" w:hAnsi="Arial" w:cs="Arial"/>
        </w:rPr>
        <w:t>.</w:t>
      </w:r>
      <w:r w:rsidRPr="00624D5A">
        <w:rPr>
          <w:rFonts w:ascii="Arial" w:hAnsi="Arial" w:cs="Arial"/>
        </w:rPr>
        <w:t xml:space="preserve">213/91 e, em síntese, significa que se o casamento ou união estável for inferior a dois anos, ou se não houver dezoito contribuições exigidas, a concessão do benefício perdurará por </w:t>
      </w:r>
      <w:r w:rsidR="000049FC">
        <w:rPr>
          <w:rFonts w:ascii="Arial" w:hAnsi="Arial" w:cs="Arial"/>
        </w:rPr>
        <w:t>quatro</w:t>
      </w:r>
      <w:r w:rsidRPr="00624D5A">
        <w:rPr>
          <w:rFonts w:ascii="Arial" w:hAnsi="Arial" w:cs="Arial"/>
        </w:rPr>
        <w:t xml:space="preserve"> meses.</w:t>
      </w:r>
    </w:p>
    <w:p w:rsidR="002C4E16" w:rsidRPr="00624D5A" w:rsidRDefault="002C4E16" w:rsidP="00624D5A">
      <w:pPr>
        <w:pStyle w:val="NormalWeb"/>
        <w:spacing w:before="0" w:beforeAutospacing="0" w:after="0" w:afterAutospacing="0"/>
        <w:ind w:firstLine="851"/>
        <w:jc w:val="both"/>
        <w:rPr>
          <w:rFonts w:ascii="Arial" w:hAnsi="Arial" w:cs="Arial"/>
        </w:rPr>
      </w:pPr>
      <w:r w:rsidRPr="00624D5A">
        <w:rPr>
          <w:rFonts w:ascii="Arial" w:hAnsi="Arial" w:cs="Arial"/>
        </w:rPr>
        <w:t xml:space="preserve">Cumpre esclarecer que, anteriormente à MP em comento, não havia tal exigência o que levava à ocorrência de vários “falsos” casamentos em data próxima ao óbito, com o único intuito de gerar o recebimento de pensão. A citada lei, por sua vez, preconiza que a suposta conduta fraudulenta do cônjuge ou companheiro deverá ser apurada em processo judicial, assegurado o direito ao contraditório e à ampla defesa. </w:t>
      </w:r>
    </w:p>
    <w:p w:rsidR="002C4E16" w:rsidRPr="00624D5A" w:rsidRDefault="002C4E16" w:rsidP="00624D5A">
      <w:pPr>
        <w:pStyle w:val="NormalWeb"/>
        <w:spacing w:before="0" w:beforeAutospacing="0" w:after="0" w:afterAutospacing="0"/>
        <w:ind w:firstLine="851"/>
        <w:jc w:val="both"/>
        <w:rPr>
          <w:rFonts w:ascii="Arial" w:hAnsi="Arial" w:cs="Arial"/>
        </w:rPr>
      </w:pPr>
      <w:r w:rsidRPr="00624D5A">
        <w:rPr>
          <w:rFonts w:ascii="Arial" w:hAnsi="Arial" w:cs="Arial"/>
        </w:rPr>
        <w:t xml:space="preserve">Outra mudança notável é a restrição da manutenção do benefício em razão da idade do dependente à época do falecimento do instituidor. As exceções ocorrem </w:t>
      </w:r>
      <w:r w:rsidRPr="00624D5A">
        <w:rPr>
          <w:rFonts w:ascii="Arial" w:hAnsi="Arial" w:cs="Arial"/>
        </w:rPr>
        <w:lastRenderedPageBreak/>
        <w:t xml:space="preserve">somente na hipótese do óbito decorrer de acidente de qualquer natureza ou de doença profissional ou do trabalho, bem como à condição de deficiente desse dependente. Assim, entende Melissa </w:t>
      </w:r>
      <w:proofErr w:type="spellStart"/>
      <w:r w:rsidRPr="00624D5A">
        <w:rPr>
          <w:rFonts w:ascii="Arial" w:hAnsi="Arial" w:cs="Arial"/>
        </w:rPr>
        <w:t>Folmann</w:t>
      </w:r>
      <w:proofErr w:type="spellEnd"/>
      <w:r w:rsidRPr="00624D5A">
        <w:rPr>
          <w:rFonts w:ascii="Arial" w:hAnsi="Arial" w:cs="Arial"/>
        </w:rPr>
        <w:t xml:space="preserve">, para os óbitos ocorridos a partir da edição do referido diploma legal, a nova redação se reporta à idade do dependente no momento do óbito e não </w:t>
      </w:r>
      <w:r w:rsidR="000049FC">
        <w:rPr>
          <w:rFonts w:ascii="Arial" w:hAnsi="Arial" w:cs="Arial"/>
        </w:rPr>
        <w:t>sobre a sua expectativa de vida</w:t>
      </w:r>
      <w:r w:rsidRPr="00624D5A">
        <w:rPr>
          <w:rFonts w:ascii="Arial" w:hAnsi="Arial" w:cs="Arial"/>
        </w:rPr>
        <w:t xml:space="preserve"> (FOLMANN, 2015)</w:t>
      </w:r>
      <w:r w:rsidR="000049FC">
        <w:rPr>
          <w:rFonts w:ascii="Arial" w:hAnsi="Arial" w:cs="Arial"/>
        </w:rPr>
        <w:t>.</w:t>
      </w:r>
    </w:p>
    <w:p w:rsidR="002C4E16" w:rsidRPr="000049FC" w:rsidRDefault="002C4E16" w:rsidP="000049FC">
      <w:pPr>
        <w:spacing w:after="0" w:line="240" w:lineRule="auto"/>
        <w:ind w:firstLine="851"/>
        <w:jc w:val="both"/>
        <w:rPr>
          <w:rFonts w:ascii="Arial" w:hAnsi="Arial" w:cs="Arial"/>
          <w:color w:val="000000"/>
          <w:sz w:val="24"/>
          <w:szCs w:val="24"/>
        </w:rPr>
      </w:pPr>
      <w:proofErr w:type="gramStart"/>
      <w:r w:rsidRPr="00624D5A">
        <w:rPr>
          <w:rFonts w:ascii="Arial" w:hAnsi="Arial" w:cs="Arial"/>
          <w:sz w:val="24"/>
          <w:szCs w:val="24"/>
        </w:rPr>
        <w:t xml:space="preserve">Importa esclarecer que o </w:t>
      </w:r>
      <w:r w:rsidR="000049FC">
        <w:rPr>
          <w:rFonts w:ascii="Arial" w:hAnsi="Arial" w:cs="Arial"/>
          <w:color w:val="000000"/>
          <w:sz w:val="24"/>
          <w:szCs w:val="24"/>
        </w:rPr>
        <w:t xml:space="preserve">§3º </w:t>
      </w:r>
      <w:r w:rsidRPr="00624D5A">
        <w:rPr>
          <w:rFonts w:ascii="Arial" w:hAnsi="Arial" w:cs="Arial"/>
          <w:color w:val="000000"/>
          <w:sz w:val="24"/>
          <w:szCs w:val="24"/>
        </w:rPr>
        <w:t>do art</w:t>
      </w:r>
      <w:r w:rsidR="000049FC">
        <w:rPr>
          <w:rFonts w:ascii="Arial" w:hAnsi="Arial" w:cs="Arial"/>
          <w:color w:val="000000"/>
          <w:sz w:val="24"/>
          <w:szCs w:val="24"/>
        </w:rPr>
        <w:t>.</w:t>
      </w:r>
      <w:r w:rsidRPr="00624D5A">
        <w:rPr>
          <w:rFonts w:ascii="Arial" w:hAnsi="Arial" w:cs="Arial"/>
          <w:color w:val="000000"/>
          <w:sz w:val="24"/>
          <w:szCs w:val="24"/>
        </w:rPr>
        <w:t xml:space="preserve"> 222 da Lei ressalva que, após o transcurso de pelo menos 3 (três) anos e, na condição que nesse período se verifique o aumento mínimo de um ano inteiro na média nacional única,</w:t>
      </w:r>
      <w:r w:rsidR="000049FC">
        <w:rPr>
          <w:rFonts w:ascii="Arial" w:hAnsi="Arial" w:cs="Arial"/>
          <w:color w:val="000000"/>
          <w:sz w:val="24"/>
          <w:szCs w:val="24"/>
        </w:rPr>
        <w:t xml:space="preserve"> </w:t>
      </w:r>
      <w:r w:rsidRPr="00624D5A">
        <w:rPr>
          <w:rFonts w:ascii="Arial" w:hAnsi="Arial" w:cs="Arial"/>
          <w:color w:val="000000"/>
          <w:sz w:val="24"/>
          <w:szCs w:val="24"/>
        </w:rPr>
        <w:t>correspondente à expectativa de sobrevida da população brasileira ao nascer, poderão ser fixadas, em números inteiros, novas idades para os fins previstos na manutenção da pensão, limitado o acréscimo na comparação com as idades anteriores ao referido incremento.</w:t>
      </w:r>
      <w:proofErr w:type="gramEnd"/>
      <w:r w:rsidR="000049FC">
        <w:rPr>
          <w:rFonts w:ascii="Arial" w:hAnsi="Arial" w:cs="Arial"/>
          <w:color w:val="000000"/>
          <w:sz w:val="24"/>
          <w:szCs w:val="24"/>
        </w:rPr>
        <w:t xml:space="preserve"> </w:t>
      </w:r>
      <w:r w:rsidRPr="00624D5A">
        <w:rPr>
          <w:rFonts w:ascii="Arial" w:hAnsi="Arial" w:cs="Arial"/>
          <w:sz w:val="24"/>
          <w:szCs w:val="24"/>
        </w:rPr>
        <w:t>Ainda que a aprovação da Lei 13.135/15 traga, em seu teor, várias limitações, cumpre registrar que tal lei mitigou as restrições contidas, originariamente, na Medida Provisória 664/14.</w:t>
      </w:r>
    </w:p>
    <w:p w:rsidR="002C4E16" w:rsidRPr="00624D5A" w:rsidRDefault="002C4E16" w:rsidP="00624D5A">
      <w:pPr>
        <w:spacing w:after="0" w:line="240" w:lineRule="auto"/>
        <w:ind w:firstLine="851"/>
        <w:jc w:val="both"/>
        <w:rPr>
          <w:rFonts w:ascii="Arial" w:hAnsi="Arial" w:cs="Arial"/>
          <w:sz w:val="24"/>
          <w:szCs w:val="24"/>
        </w:rPr>
      </w:pPr>
      <w:r w:rsidRPr="00624D5A">
        <w:rPr>
          <w:rFonts w:ascii="Arial" w:hAnsi="Arial" w:cs="Arial"/>
          <w:sz w:val="24"/>
          <w:szCs w:val="24"/>
        </w:rPr>
        <w:t xml:space="preserve">Ao </w:t>
      </w:r>
      <w:r w:rsidR="000049FC">
        <w:rPr>
          <w:rFonts w:ascii="Arial" w:hAnsi="Arial" w:cs="Arial"/>
          <w:sz w:val="24"/>
          <w:szCs w:val="24"/>
        </w:rPr>
        <w:t>brevemente se comparar</w:t>
      </w:r>
      <w:r w:rsidRPr="00624D5A">
        <w:rPr>
          <w:rFonts w:ascii="Arial" w:hAnsi="Arial" w:cs="Arial"/>
          <w:sz w:val="24"/>
          <w:szCs w:val="24"/>
        </w:rPr>
        <w:t xml:space="preserve"> a MP 664/14 e a Lei 13.135/15, </w:t>
      </w:r>
      <w:r w:rsidR="000049FC">
        <w:rPr>
          <w:rFonts w:ascii="Arial" w:hAnsi="Arial" w:cs="Arial"/>
          <w:sz w:val="24"/>
          <w:szCs w:val="24"/>
        </w:rPr>
        <w:t xml:space="preserve">percebe-se que </w:t>
      </w:r>
      <w:r w:rsidRPr="00624D5A">
        <w:rPr>
          <w:rFonts w:ascii="Arial" w:hAnsi="Arial" w:cs="Arial"/>
          <w:sz w:val="24"/>
          <w:szCs w:val="24"/>
        </w:rPr>
        <w:t xml:space="preserve">a MP 664/14 autorizava a concessão de pensão por morte na somente na hipótese do </w:t>
      </w:r>
      <w:proofErr w:type="spellStart"/>
      <w:r w:rsidRPr="00624D5A">
        <w:rPr>
          <w:rFonts w:ascii="Arial" w:hAnsi="Arial" w:cs="Arial"/>
          <w:sz w:val="24"/>
          <w:szCs w:val="24"/>
        </w:rPr>
        <w:t>ex-segurado</w:t>
      </w:r>
      <w:proofErr w:type="spellEnd"/>
      <w:r w:rsidRPr="00624D5A">
        <w:rPr>
          <w:rFonts w:ascii="Arial" w:hAnsi="Arial" w:cs="Arial"/>
          <w:sz w:val="24"/>
          <w:szCs w:val="24"/>
        </w:rPr>
        <w:t xml:space="preserve"> já ter efetuado 24 meses de contribuição, ou seja, instituindo um prazo de carência, o que, anteriormente, não era exigido. Havia limitação, igualmente, quanto ao valor do benefício a ser pago para os dependentes. No período de vigência das referida Medida, (de 01.03.15 a 17.06.15), os benefícios foram pagos com 50% do valor da aposentadoria que o segurado recebia (ou daquela a que teria direito se estivesse aposentado por invalidez na data do óbito), acrescido de tantas cotas individuais de 10% do valor da mesma aposentadoria, quantos forem os dependentes do segurado, até o máximo de cinco. Contudo, apesar do acima exposto, a Lei 13.135/15 abrandou a regra acima exposta, voltando o valor da pensão por morte a 100% da aposentadoria do segurado (ou daquela a que teria direito se estivesse aposentado por invalidez na data do óbito) a partir de sua vigência, 18.06.15.</w:t>
      </w:r>
    </w:p>
    <w:p w:rsidR="002C4E16" w:rsidRPr="00624D5A" w:rsidRDefault="002C4E16" w:rsidP="00624D5A">
      <w:pPr>
        <w:spacing w:after="0" w:line="240" w:lineRule="auto"/>
        <w:ind w:firstLine="851"/>
        <w:jc w:val="both"/>
        <w:rPr>
          <w:rFonts w:ascii="Arial" w:hAnsi="Arial" w:cs="Arial"/>
          <w:sz w:val="24"/>
          <w:szCs w:val="24"/>
        </w:rPr>
      </w:pPr>
      <w:r w:rsidRPr="00624D5A">
        <w:rPr>
          <w:rFonts w:ascii="Arial" w:hAnsi="Arial" w:cs="Arial"/>
          <w:sz w:val="24"/>
          <w:szCs w:val="24"/>
        </w:rPr>
        <w:t>Importa esclarecer que o art. 5º da citada lei estabelece que os atos praticados com base na Medida Provisória 664 de 30 de dezembro de 2015, (que esteve em vigência no período de 01.03.15 a 17.06.15) serão revistos e adaptados à Lei. Insta esclarecer que, por óbvio, a regra estabelecida se aplica somente para o cônjuge ou companheiro, não havendo qualquer alteração para os filhos e demais dependentes.</w:t>
      </w:r>
    </w:p>
    <w:p w:rsidR="002C4E16" w:rsidRPr="00624D5A" w:rsidRDefault="002C4E16" w:rsidP="00624D5A">
      <w:pPr>
        <w:spacing w:after="0" w:line="240" w:lineRule="auto"/>
        <w:ind w:firstLine="851"/>
        <w:jc w:val="both"/>
        <w:rPr>
          <w:rFonts w:ascii="Arial" w:hAnsi="Arial" w:cs="Arial"/>
          <w:sz w:val="24"/>
          <w:szCs w:val="24"/>
        </w:rPr>
      </w:pPr>
      <w:r w:rsidRPr="00624D5A">
        <w:rPr>
          <w:rFonts w:ascii="Arial" w:hAnsi="Arial" w:cs="Arial"/>
          <w:sz w:val="24"/>
          <w:szCs w:val="24"/>
        </w:rPr>
        <w:t>Outra mudança notável tr</w:t>
      </w:r>
      <w:r w:rsidR="000049FC">
        <w:rPr>
          <w:rFonts w:ascii="Arial" w:hAnsi="Arial" w:cs="Arial"/>
          <w:sz w:val="24"/>
          <w:szCs w:val="24"/>
        </w:rPr>
        <w:t>azida com a edição da lei</w:t>
      </w:r>
      <w:proofErr w:type="gramStart"/>
      <w:r w:rsidR="000049FC">
        <w:rPr>
          <w:rFonts w:ascii="Arial" w:hAnsi="Arial" w:cs="Arial"/>
          <w:sz w:val="24"/>
          <w:szCs w:val="24"/>
        </w:rPr>
        <w:t xml:space="preserve">, </w:t>
      </w:r>
      <w:r w:rsidRPr="00624D5A">
        <w:rPr>
          <w:rFonts w:ascii="Arial" w:hAnsi="Arial" w:cs="Arial"/>
          <w:sz w:val="24"/>
          <w:szCs w:val="24"/>
        </w:rPr>
        <w:t>foi</w:t>
      </w:r>
      <w:proofErr w:type="gramEnd"/>
      <w:r w:rsidRPr="00624D5A">
        <w:rPr>
          <w:rFonts w:ascii="Arial" w:hAnsi="Arial" w:cs="Arial"/>
          <w:sz w:val="24"/>
          <w:szCs w:val="24"/>
        </w:rPr>
        <w:t xml:space="preserve"> a inclusão da figura do dependente indigno. Muito embora já houvesse o instituto do herdeiro indigno no Código Civil</w:t>
      </w:r>
      <w:proofErr w:type="gramStart"/>
      <w:r w:rsidRPr="00624D5A">
        <w:rPr>
          <w:rFonts w:ascii="Arial" w:hAnsi="Arial" w:cs="Arial"/>
          <w:sz w:val="24"/>
          <w:szCs w:val="24"/>
        </w:rPr>
        <w:t xml:space="preserve"> </w:t>
      </w:r>
      <w:r w:rsidR="000049FC">
        <w:rPr>
          <w:rFonts w:ascii="Arial" w:hAnsi="Arial" w:cs="Arial"/>
          <w:sz w:val="24"/>
          <w:szCs w:val="24"/>
        </w:rPr>
        <w:t xml:space="preserve"> </w:t>
      </w:r>
      <w:proofErr w:type="gramEnd"/>
      <w:r w:rsidRPr="00624D5A">
        <w:rPr>
          <w:rFonts w:ascii="Arial" w:hAnsi="Arial" w:cs="Arial"/>
          <w:sz w:val="24"/>
          <w:szCs w:val="24"/>
        </w:rPr>
        <w:t>(art. 1.814), tal regra inexistia na lei previdenciária. Tal fato não impedia, contudo, a aplicação analógica da norma contida no Código Civil, para fundamentar o indeferimento da pensão por morte, na hipótese de culpa do dependente pelo óbito do segurado instituidor. A Medida Provisória exigia, em seu bojo, uma prévia condenação criminal, ainda que pendente de trânsito em julgado. Entretanto, a partir da vigência da Lei 13.135/15, foi promovida alteração da redação, ao trazer, expressamente, a necessidade do trânsito em julgado, vedando, assim, a concessão de pensão por morte ao condenado pela prática de crime doloso que tenha</w:t>
      </w:r>
      <w:r w:rsidR="000049FC">
        <w:rPr>
          <w:rFonts w:ascii="Arial" w:hAnsi="Arial" w:cs="Arial"/>
          <w:sz w:val="24"/>
          <w:szCs w:val="24"/>
        </w:rPr>
        <w:t xml:space="preserve"> resultado na morte do segurado</w:t>
      </w:r>
      <w:r w:rsidRPr="00624D5A">
        <w:rPr>
          <w:rFonts w:ascii="Arial" w:hAnsi="Arial" w:cs="Arial"/>
          <w:sz w:val="24"/>
          <w:szCs w:val="24"/>
        </w:rPr>
        <w:t xml:space="preserve"> (FOLMANN, 2015).</w:t>
      </w:r>
    </w:p>
    <w:p w:rsidR="002C4E16" w:rsidRPr="00624D5A" w:rsidRDefault="002C4E16" w:rsidP="00624D5A">
      <w:pPr>
        <w:spacing w:after="0" w:line="240" w:lineRule="auto"/>
        <w:jc w:val="both"/>
        <w:rPr>
          <w:rFonts w:ascii="Arial" w:hAnsi="Arial" w:cs="Arial"/>
          <w:sz w:val="24"/>
          <w:szCs w:val="24"/>
        </w:rPr>
      </w:pPr>
    </w:p>
    <w:p w:rsidR="00433107" w:rsidRPr="00624D5A" w:rsidRDefault="007C6AE0" w:rsidP="00624D5A">
      <w:pPr>
        <w:pStyle w:val="Ttulo1"/>
        <w:spacing w:before="0" w:after="0"/>
        <w:rPr>
          <w:szCs w:val="24"/>
        </w:rPr>
      </w:pPr>
      <w:r w:rsidRPr="00624D5A">
        <w:rPr>
          <w:szCs w:val="24"/>
        </w:rPr>
        <w:t>Conclusão</w:t>
      </w:r>
    </w:p>
    <w:p w:rsidR="002C4E16" w:rsidRPr="00624D5A" w:rsidRDefault="002C4E16" w:rsidP="00624D5A">
      <w:pPr>
        <w:pStyle w:val="NormalWeb"/>
        <w:spacing w:before="0" w:beforeAutospacing="0" w:after="0" w:afterAutospacing="0"/>
        <w:ind w:firstLine="851"/>
        <w:jc w:val="both"/>
        <w:rPr>
          <w:rFonts w:ascii="Arial" w:hAnsi="Arial" w:cs="Arial"/>
        </w:rPr>
      </w:pPr>
      <w:r w:rsidRPr="00624D5A">
        <w:rPr>
          <w:rFonts w:ascii="Arial" w:hAnsi="Arial" w:cs="Arial"/>
        </w:rPr>
        <w:t>O advento da Constituição de 1988 marcou, de forma indelével, o reconhecimento e a busca pela concretização dos direitos sociais, com especial relevância ao direito fundamental à previdência social.</w:t>
      </w:r>
      <w:r w:rsidR="000049FC">
        <w:rPr>
          <w:rFonts w:ascii="Arial" w:hAnsi="Arial" w:cs="Arial"/>
        </w:rPr>
        <w:t xml:space="preserve"> </w:t>
      </w:r>
      <w:r w:rsidRPr="00624D5A">
        <w:rPr>
          <w:rFonts w:ascii="Arial" w:hAnsi="Arial" w:cs="Arial"/>
        </w:rPr>
        <w:t xml:space="preserve">Da análise do presente, </w:t>
      </w:r>
      <w:r w:rsidRPr="00624D5A">
        <w:rPr>
          <w:rFonts w:ascii="Arial" w:hAnsi="Arial" w:cs="Arial"/>
        </w:rPr>
        <w:lastRenderedPageBreak/>
        <w:t>verifica-se que a lei previdenciária sofreu uma lenta, porém progressiva evolução ao longo dos anos. A conversão da Medida Provisória 664/14 na Lei 13.135/15 trouxe, sem sombra de dúvidas, grandes e significativas modificações na lei previdenciária, notadamente nos benefícios de auxílio doença, auxílio reclusão e pensão por morte, aqui tratado.</w:t>
      </w:r>
    </w:p>
    <w:p w:rsidR="002C4E16" w:rsidRPr="00624D5A" w:rsidRDefault="002C4E16" w:rsidP="00624D5A">
      <w:pPr>
        <w:spacing w:after="0" w:line="240" w:lineRule="auto"/>
        <w:ind w:firstLine="851"/>
        <w:jc w:val="both"/>
        <w:rPr>
          <w:rFonts w:ascii="Arial" w:hAnsi="Arial" w:cs="Arial"/>
          <w:sz w:val="24"/>
          <w:szCs w:val="24"/>
        </w:rPr>
      </w:pPr>
      <w:r w:rsidRPr="00624D5A">
        <w:rPr>
          <w:rFonts w:ascii="Arial" w:hAnsi="Arial" w:cs="Arial"/>
          <w:sz w:val="24"/>
          <w:szCs w:val="24"/>
        </w:rPr>
        <w:t xml:space="preserve">“Memento </w:t>
      </w:r>
      <w:proofErr w:type="spellStart"/>
      <w:r w:rsidRPr="00624D5A">
        <w:rPr>
          <w:rFonts w:ascii="Arial" w:hAnsi="Arial" w:cs="Arial"/>
          <w:sz w:val="24"/>
          <w:szCs w:val="24"/>
        </w:rPr>
        <w:t>mori</w:t>
      </w:r>
      <w:proofErr w:type="spellEnd"/>
      <w:r w:rsidRPr="00624D5A">
        <w:rPr>
          <w:rFonts w:ascii="Arial" w:hAnsi="Arial" w:cs="Arial"/>
          <w:sz w:val="24"/>
          <w:szCs w:val="24"/>
        </w:rPr>
        <w:t>”. A expressão, em latim, significa, em poucas palavras: “Lembre-se que você é mortal”. A morte é um fenômeno que desperta muitas emoções. Embora seja um evento natural, a ideia de finitude suscita inúmeros questionamentos internos e conflitantes. A morte é dolorida, inesperada, fonte de sofrimento e angústia e nos confronta com a imprevisibilidade e fragilidade da vida. É natural que, ciente da ocorrência de uma doença ou do óbito a qualquer instante, o homem tenha a preocupação de deixar seus entes queridos em situação menos traumática possível, contribuindo financeira e compulsoriamente com o sistema previdenciário.</w:t>
      </w:r>
    </w:p>
    <w:p w:rsidR="002C4E16" w:rsidRPr="00624D5A" w:rsidRDefault="002C4E16" w:rsidP="00624D5A">
      <w:pPr>
        <w:pStyle w:val="NormalWeb"/>
        <w:spacing w:before="0" w:beforeAutospacing="0" w:after="0" w:afterAutospacing="0"/>
        <w:ind w:firstLine="851"/>
        <w:jc w:val="both"/>
        <w:rPr>
          <w:rFonts w:ascii="Arial" w:hAnsi="Arial" w:cs="Arial"/>
        </w:rPr>
      </w:pPr>
      <w:r w:rsidRPr="00624D5A">
        <w:rPr>
          <w:rFonts w:ascii="Arial" w:hAnsi="Arial" w:cs="Arial"/>
        </w:rPr>
        <w:t xml:space="preserve"> A Lei 13.135/15 trouxe grande impacto no tocante à manutenção dos benefícios para os dependentes. Ao determinar a comprovação mínima de dois anos de convivência entre os cônjuges/companheiros e o recolhimento mínimo de 18 contribuições àqueles, cuja morte não decorresse de acidente ou cujos dependentes fossem incapazes, o legislador, por certo, pretendeu, com tais restrições, inibir a ocorrência de fraudes.</w:t>
      </w:r>
      <w:r w:rsidR="000049FC">
        <w:rPr>
          <w:rFonts w:ascii="Arial" w:hAnsi="Arial" w:cs="Arial"/>
        </w:rPr>
        <w:t xml:space="preserve"> </w:t>
      </w:r>
      <w:r w:rsidRPr="00624D5A">
        <w:rPr>
          <w:rFonts w:ascii="Arial" w:hAnsi="Arial" w:cs="Arial"/>
        </w:rPr>
        <w:t>Ao refletir sobre o assunto, é de ser questionado se o Estado pode intervir tão profundamente no âmbito familiar do cônjuge sobrevivente, que terá que reformular sua vida e sua situação econômica em períodos predeterminados pela Lei.</w:t>
      </w:r>
    </w:p>
    <w:p w:rsidR="002C4E16" w:rsidRPr="00624D5A" w:rsidRDefault="002C4E16" w:rsidP="00624D5A">
      <w:pPr>
        <w:pStyle w:val="NormalWeb"/>
        <w:spacing w:before="0" w:beforeAutospacing="0" w:after="0" w:afterAutospacing="0"/>
        <w:ind w:firstLine="851"/>
        <w:jc w:val="both"/>
        <w:rPr>
          <w:rFonts w:ascii="Arial" w:hAnsi="Arial" w:cs="Arial"/>
        </w:rPr>
      </w:pPr>
      <w:r w:rsidRPr="00624D5A">
        <w:rPr>
          <w:rFonts w:ascii="Arial" w:hAnsi="Arial" w:cs="Arial"/>
        </w:rPr>
        <w:t xml:space="preserve">Sob o ponto de vista legal, o </w:t>
      </w:r>
      <w:proofErr w:type="spellStart"/>
      <w:r w:rsidRPr="00624D5A">
        <w:rPr>
          <w:rFonts w:ascii="Arial" w:hAnsi="Arial" w:cs="Arial"/>
        </w:rPr>
        <w:t>art</w:t>
      </w:r>
      <w:proofErr w:type="spellEnd"/>
      <w:r w:rsidRPr="00624D5A">
        <w:rPr>
          <w:rFonts w:ascii="Arial" w:hAnsi="Arial" w:cs="Arial"/>
        </w:rPr>
        <w:t xml:space="preserve"> 226 da nossa Constituição e o </w:t>
      </w:r>
      <w:proofErr w:type="spellStart"/>
      <w:r w:rsidRPr="00624D5A">
        <w:rPr>
          <w:rFonts w:ascii="Arial" w:hAnsi="Arial" w:cs="Arial"/>
        </w:rPr>
        <w:t>art</w:t>
      </w:r>
      <w:proofErr w:type="spellEnd"/>
      <w:r w:rsidRPr="00624D5A">
        <w:rPr>
          <w:rFonts w:ascii="Arial" w:hAnsi="Arial" w:cs="Arial"/>
        </w:rPr>
        <w:t xml:space="preserve"> 1723 do Código Civil não exigem um prazo mínimo para que seja configurada a existência de uma união estável.</w:t>
      </w:r>
      <w:r w:rsidR="000049FC">
        <w:rPr>
          <w:rFonts w:ascii="Arial" w:hAnsi="Arial" w:cs="Arial"/>
        </w:rPr>
        <w:t xml:space="preserve"> </w:t>
      </w:r>
      <w:r w:rsidRPr="00624D5A">
        <w:rPr>
          <w:rFonts w:ascii="Arial" w:hAnsi="Arial" w:cs="Arial"/>
        </w:rPr>
        <w:t>Em que se pese o argumento legal como controle das possíveis fraudes, não há como generalizar que todos aqueles que contraíram matrimônio ou estejam vivendo em união estável há menos de dois anos, estejam sob a chancela da má-fé. Atualmente, muitos casais optam por viver em união estável, para, se for o caso, posteriormente, se casarem. Ainda que seja possível comprovar a soma do período de convivência de união estável e o casamento, é plausível exigir coleção de provas que inteirem 2 anos, sob o temor do evento morte precoce de um deles?</w:t>
      </w:r>
    </w:p>
    <w:p w:rsidR="002C4E16" w:rsidRPr="00624D5A" w:rsidRDefault="002C4E16" w:rsidP="00624D5A">
      <w:pPr>
        <w:pStyle w:val="NormalWeb"/>
        <w:spacing w:before="0" w:beforeAutospacing="0" w:after="0" w:afterAutospacing="0"/>
        <w:ind w:firstLine="851"/>
        <w:jc w:val="both"/>
        <w:rPr>
          <w:rFonts w:ascii="Arial" w:hAnsi="Arial" w:cs="Arial"/>
        </w:rPr>
      </w:pPr>
      <w:r w:rsidRPr="00624D5A">
        <w:rPr>
          <w:rFonts w:ascii="Arial" w:hAnsi="Arial" w:cs="Arial"/>
        </w:rPr>
        <w:t xml:space="preserve">É sabido e notório que o Sistema Único de Saúde é deficitário no país. Não é, assim, totalmente descabida a hipótese, por exemplo, de um jovem, casado há poucos meses, padecer de uma enfermidade causada pelo </w:t>
      </w:r>
      <w:proofErr w:type="spellStart"/>
      <w:r w:rsidRPr="00624D5A">
        <w:rPr>
          <w:rFonts w:ascii="Arial" w:hAnsi="Arial" w:cs="Arial"/>
        </w:rPr>
        <w:t>zika</w:t>
      </w:r>
      <w:proofErr w:type="spellEnd"/>
      <w:r w:rsidRPr="00624D5A">
        <w:rPr>
          <w:rFonts w:ascii="Arial" w:hAnsi="Arial" w:cs="Arial"/>
        </w:rPr>
        <w:t xml:space="preserve"> vírus, dengue, H1N1 ou outra qualquer e deixar a viúva à mercê da sorte, recebendo o benefício por apenas 04 meses.</w:t>
      </w:r>
      <w:r w:rsidR="000049FC">
        <w:rPr>
          <w:rFonts w:ascii="Arial" w:hAnsi="Arial" w:cs="Arial"/>
        </w:rPr>
        <w:t xml:space="preserve"> </w:t>
      </w:r>
      <w:r w:rsidRPr="00624D5A">
        <w:rPr>
          <w:rFonts w:ascii="Arial" w:hAnsi="Arial" w:cs="Arial"/>
        </w:rPr>
        <w:t xml:space="preserve">Ainda que a regra excetue a ocorrência de acidente, (ocasião na qual não será exigida a comprovação de dois anos de casamento ou união estável), como ter a certeza que a morte não ocorreu de modo acidental? Afogamento por embriaguez é considerado acidente? E overdose? Morte no parto? A análise da causa do óbito dependerá, exclusivamente, do médico que emitir a Certidão de Óbito e é um ponto que merece reflexão e análise. </w:t>
      </w:r>
    </w:p>
    <w:p w:rsidR="002C4E16" w:rsidRPr="00624D5A" w:rsidRDefault="002C4E16" w:rsidP="00624D5A">
      <w:pPr>
        <w:pStyle w:val="NormalWeb"/>
        <w:spacing w:before="0" w:beforeAutospacing="0" w:after="0" w:afterAutospacing="0"/>
        <w:ind w:firstLine="851"/>
        <w:jc w:val="both"/>
        <w:rPr>
          <w:rFonts w:ascii="Arial" w:hAnsi="Arial" w:cs="Arial"/>
        </w:rPr>
      </w:pPr>
      <w:r w:rsidRPr="00624D5A">
        <w:rPr>
          <w:rFonts w:ascii="Arial" w:hAnsi="Arial" w:cs="Arial"/>
        </w:rPr>
        <w:t>Outro ponto importante diz respeito à duração da pensão por morte. Até 01.03.15, o benefício em questão tinha o caráter vitalício e só seria cessada com a perda da qualidade de dependente, ainda que este dependente contraísse novo matrimônio ou constituísse nova união estável.</w:t>
      </w:r>
      <w:r w:rsidR="000049FC">
        <w:rPr>
          <w:rFonts w:ascii="Arial" w:hAnsi="Arial" w:cs="Arial"/>
        </w:rPr>
        <w:t xml:space="preserve"> </w:t>
      </w:r>
      <w:r w:rsidRPr="00624D5A">
        <w:rPr>
          <w:rFonts w:ascii="Arial" w:hAnsi="Arial" w:cs="Arial"/>
        </w:rPr>
        <w:t xml:space="preserve">As regras contidas na tabela que escalona o tempo de recebimento, baseada na idade do cônjuge sobrevivente, carece de fundamento. Para exemplificar, qual a diferença prática em uma viúva de 44 anos e uma de 43 anos? Pela regra atual, a primeira irá receber o benefício de forma vitalícia, enquanto que a segunda será privada da pensão aos 63 anos, </w:t>
      </w:r>
      <w:r w:rsidRPr="00624D5A">
        <w:rPr>
          <w:rFonts w:ascii="Arial" w:hAnsi="Arial" w:cs="Arial"/>
        </w:rPr>
        <w:lastRenderedPageBreak/>
        <w:t xml:space="preserve">tornando-a totalmente desprotegida e em situação de vulnerabilidade social. Como proceder com este contingente de indivíduos que serão privados de seu, (talvez único), sustento após 15, 20 anos e já em idade madura? Quem irá abrigá-los? </w:t>
      </w:r>
    </w:p>
    <w:p w:rsidR="002C4E16" w:rsidRPr="00624D5A" w:rsidRDefault="002C4E16" w:rsidP="00624D5A">
      <w:pPr>
        <w:pStyle w:val="NormalWeb"/>
        <w:spacing w:before="0" w:beforeAutospacing="0" w:after="0" w:afterAutospacing="0"/>
        <w:ind w:firstLine="851"/>
        <w:jc w:val="both"/>
        <w:rPr>
          <w:rFonts w:ascii="Arial" w:hAnsi="Arial" w:cs="Arial"/>
        </w:rPr>
      </w:pPr>
      <w:r w:rsidRPr="00624D5A">
        <w:rPr>
          <w:rFonts w:ascii="Arial" w:hAnsi="Arial" w:cs="Arial"/>
        </w:rPr>
        <w:t xml:space="preserve">Vale relembrar que a Lei 8213/91 estabelece que a dependência do cônjuge/companheiro, (juntamente com os dependentes de 1ª classe) é presumida. Com a nova lei em vigor, o Estado </w:t>
      </w:r>
      <w:proofErr w:type="gramStart"/>
      <w:r w:rsidRPr="00624D5A">
        <w:rPr>
          <w:rFonts w:ascii="Arial" w:hAnsi="Arial" w:cs="Arial"/>
        </w:rPr>
        <w:t>determina,</w:t>
      </w:r>
      <w:proofErr w:type="gramEnd"/>
      <w:r w:rsidRPr="00624D5A">
        <w:rPr>
          <w:rFonts w:ascii="Arial" w:hAnsi="Arial" w:cs="Arial"/>
        </w:rPr>
        <w:t xml:space="preserve"> de modo análogo, o prazo de “presunção da dependência econômica”, ao estabelecer uma data limite para a cessação do benefício. É presumível que uma viúva se restabeleça financeiramente em apenas 04 meses? Não há lógica nesse raciocínio e soa como punição.</w:t>
      </w:r>
    </w:p>
    <w:p w:rsidR="002C4E16" w:rsidRPr="00624D5A" w:rsidRDefault="002C4E16" w:rsidP="00624D5A">
      <w:pPr>
        <w:pStyle w:val="NormalWeb"/>
        <w:spacing w:before="0" w:beforeAutospacing="0" w:after="0" w:afterAutospacing="0"/>
        <w:ind w:firstLine="851"/>
        <w:jc w:val="both"/>
        <w:rPr>
          <w:rFonts w:ascii="Arial" w:hAnsi="Arial" w:cs="Arial"/>
        </w:rPr>
      </w:pPr>
      <w:r w:rsidRPr="00624D5A">
        <w:rPr>
          <w:rFonts w:ascii="Arial" w:hAnsi="Arial" w:cs="Arial"/>
        </w:rPr>
        <w:t xml:space="preserve">É certo que outras medidas menos drásticas poderiam conter os abusos, como, por exemplo, cessar a pensão </w:t>
      </w:r>
      <w:proofErr w:type="gramStart"/>
      <w:r w:rsidRPr="00624D5A">
        <w:rPr>
          <w:rFonts w:ascii="Arial" w:hAnsi="Arial" w:cs="Arial"/>
        </w:rPr>
        <w:t>daquele(</w:t>
      </w:r>
      <w:proofErr w:type="gramEnd"/>
      <w:r w:rsidRPr="00624D5A">
        <w:rPr>
          <w:rFonts w:ascii="Arial" w:hAnsi="Arial" w:cs="Arial"/>
        </w:rPr>
        <w:t>a) beneficiário(a)viúvo(a) que contraísse novo matrimônio ou estabelecesse nova relação estável. Outra medida possível de caráter educativo poderia ser tomada, no sentido de incentivar, desde a adolescência, a importância da contribuição social, fortalecendo o sistema.</w:t>
      </w:r>
      <w:r w:rsidR="000049FC">
        <w:rPr>
          <w:rFonts w:ascii="Arial" w:hAnsi="Arial" w:cs="Arial"/>
        </w:rPr>
        <w:t xml:space="preserve"> </w:t>
      </w:r>
      <w:r w:rsidRPr="00624D5A">
        <w:rPr>
          <w:rFonts w:ascii="Arial" w:hAnsi="Arial" w:cs="Arial"/>
        </w:rPr>
        <w:t xml:space="preserve">Após a análise e reflexão acerca de tais medidas e, ainda que </w:t>
      </w:r>
      <w:proofErr w:type="gramStart"/>
      <w:r w:rsidRPr="00624D5A">
        <w:rPr>
          <w:rFonts w:ascii="Arial" w:hAnsi="Arial" w:cs="Arial"/>
        </w:rPr>
        <w:t>representem</w:t>
      </w:r>
      <w:proofErr w:type="gramEnd"/>
      <w:r w:rsidRPr="00624D5A">
        <w:rPr>
          <w:rFonts w:ascii="Arial" w:hAnsi="Arial" w:cs="Arial"/>
        </w:rPr>
        <w:t xml:space="preserve"> um avanço em termos da criação da figura do dependente indigno, as demais geram, sem dúvidas, prejuízos aos segurados e seus dependentes, na medida em que as contribuições possuem cunho social e foram efetuadas justamente para garantir amparo e suporte da Previdência Social, em casos de vulnerabilidade o que, de fato, não acontecerá.</w:t>
      </w:r>
    </w:p>
    <w:p w:rsidR="002C4E16" w:rsidRPr="00624D5A" w:rsidRDefault="002C4E16" w:rsidP="00624D5A">
      <w:pPr>
        <w:pStyle w:val="NormalWeb"/>
        <w:spacing w:before="0" w:beforeAutospacing="0" w:after="0" w:afterAutospacing="0"/>
        <w:ind w:firstLine="851"/>
        <w:jc w:val="both"/>
        <w:rPr>
          <w:rFonts w:ascii="Arial" w:hAnsi="Arial" w:cs="Arial"/>
        </w:rPr>
      </w:pPr>
      <w:r w:rsidRPr="00624D5A">
        <w:rPr>
          <w:rFonts w:ascii="Arial" w:hAnsi="Arial" w:cs="Arial"/>
        </w:rPr>
        <w:t>Observa-se que, diferentemente das demais reformas previdenciárias de outrora, o texto da lei em comento não estabeleceu uma regra de transição.</w:t>
      </w:r>
      <w:r w:rsidR="000049FC">
        <w:rPr>
          <w:rFonts w:ascii="Arial" w:hAnsi="Arial" w:cs="Arial"/>
        </w:rPr>
        <w:t xml:space="preserve"> </w:t>
      </w:r>
      <w:r w:rsidRPr="00624D5A">
        <w:rPr>
          <w:rFonts w:ascii="Arial" w:hAnsi="Arial" w:cs="Arial"/>
        </w:rPr>
        <w:t xml:space="preserve">Intui-se, igualmente, a possível incidência de um maior número de ações judiciais, motivadas pela irresignação dos segurados e dependentes ante </w:t>
      </w:r>
      <w:proofErr w:type="gramStart"/>
      <w:r w:rsidRPr="00624D5A">
        <w:rPr>
          <w:rFonts w:ascii="Arial" w:hAnsi="Arial" w:cs="Arial"/>
        </w:rPr>
        <w:t>às</w:t>
      </w:r>
      <w:proofErr w:type="gramEnd"/>
      <w:r w:rsidRPr="00624D5A">
        <w:rPr>
          <w:rFonts w:ascii="Arial" w:hAnsi="Arial" w:cs="Arial"/>
        </w:rPr>
        <w:t xml:space="preserve"> medidas adotadas.</w:t>
      </w:r>
      <w:r w:rsidR="000049FC">
        <w:rPr>
          <w:rFonts w:ascii="Arial" w:hAnsi="Arial" w:cs="Arial"/>
        </w:rPr>
        <w:t xml:space="preserve"> </w:t>
      </w:r>
      <w:r w:rsidRPr="00624D5A">
        <w:rPr>
          <w:rFonts w:ascii="Arial" w:hAnsi="Arial" w:cs="Arial"/>
        </w:rPr>
        <w:t>Não seria mais prudente debater previamente o assunto com a sociedade e com entidades de cunho científico-previdenciário antes da edição de uma lei com tantos reflexos sociais?</w:t>
      </w:r>
    </w:p>
    <w:p w:rsidR="002C4E16" w:rsidRPr="00624D5A" w:rsidRDefault="002C4E16" w:rsidP="00624D5A">
      <w:pPr>
        <w:pStyle w:val="NormalWeb"/>
        <w:spacing w:before="0" w:beforeAutospacing="0" w:after="0" w:afterAutospacing="0"/>
        <w:ind w:firstLine="851"/>
        <w:jc w:val="both"/>
        <w:rPr>
          <w:rFonts w:ascii="Arial" w:hAnsi="Arial" w:cs="Arial"/>
        </w:rPr>
      </w:pPr>
      <w:r w:rsidRPr="00624D5A">
        <w:rPr>
          <w:rFonts w:ascii="Arial" w:hAnsi="Arial" w:cs="Arial"/>
        </w:rPr>
        <w:t>As medidas ferem, frontalmente, os princípios da isonomia, ao tratar os iguais (viúvos e viúvas com pouco tempo de convivência e sem 18 contribuições efetuadas pelo extinto) de modo desigual aos demais dependentes, bem como o princípio da razoabilidade, promovendo uma discriminação injustificada. O princípio basilar da solidariedade também foi atingido.</w:t>
      </w:r>
      <w:r w:rsidR="000049FC">
        <w:rPr>
          <w:rFonts w:ascii="Arial" w:hAnsi="Arial" w:cs="Arial"/>
        </w:rPr>
        <w:t xml:space="preserve"> </w:t>
      </w:r>
      <w:r w:rsidRPr="00624D5A">
        <w:rPr>
          <w:rFonts w:ascii="Arial" w:hAnsi="Arial" w:cs="Arial"/>
        </w:rPr>
        <w:t xml:space="preserve">A justificativa estatal, fundamentada em seus próprios interesses e conveniências para a adoção das medidas acima, carece de bom senso, ao responsabilizar, em última instância, o beneficiário pelo </w:t>
      </w:r>
      <w:r w:rsidR="000049FC" w:rsidRPr="00624D5A">
        <w:rPr>
          <w:rFonts w:ascii="Arial" w:hAnsi="Arial" w:cs="Arial"/>
        </w:rPr>
        <w:t>déficit</w:t>
      </w:r>
      <w:r w:rsidRPr="00624D5A">
        <w:rPr>
          <w:rFonts w:ascii="Arial" w:hAnsi="Arial" w:cs="Arial"/>
        </w:rPr>
        <w:t xml:space="preserve"> previdenciário. Ainda as novas regras restritivas impostas estejam sob o manto e sob a justificativa do impacto no orçamento das contas públicas, tal fato não pode se distanciar da premissa básica da cobertura da seguridade social. </w:t>
      </w:r>
    </w:p>
    <w:p w:rsidR="002C4E16" w:rsidRPr="00624D5A" w:rsidRDefault="002C4E16" w:rsidP="00624D5A">
      <w:pPr>
        <w:pStyle w:val="NormalWeb"/>
        <w:spacing w:before="0" w:beforeAutospacing="0" w:after="0" w:afterAutospacing="0"/>
        <w:ind w:firstLine="851"/>
        <w:jc w:val="both"/>
        <w:rPr>
          <w:rFonts w:ascii="Arial" w:hAnsi="Arial" w:cs="Arial"/>
        </w:rPr>
      </w:pPr>
      <w:r w:rsidRPr="00624D5A">
        <w:rPr>
          <w:rFonts w:ascii="Arial" w:hAnsi="Arial" w:cs="Arial"/>
        </w:rPr>
        <w:t>Vale relembrar que os direitos sociais básicos dos trabalhadores foram conquistados com muito custo, ao longo de vários anos e pela via democrática.</w:t>
      </w:r>
      <w:r w:rsidR="000049FC">
        <w:rPr>
          <w:rFonts w:ascii="Arial" w:hAnsi="Arial" w:cs="Arial"/>
        </w:rPr>
        <w:t xml:space="preserve"> </w:t>
      </w:r>
      <w:r w:rsidRPr="00624D5A">
        <w:rPr>
          <w:rFonts w:ascii="Arial" w:hAnsi="Arial" w:cs="Arial"/>
        </w:rPr>
        <w:t>As medidas impostas na nova Lei lesionam as normas constitucionais relativas aos direitos humanos e sofrem literal desrespeito, ao afastar o direito à Seguridade Social garantido na Carta Magna.</w:t>
      </w:r>
      <w:r w:rsidR="000049FC">
        <w:rPr>
          <w:rFonts w:ascii="Arial" w:hAnsi="Arial" w:cs="Arial"/>
        </w:rPr>
        <w:t xml:space="preserve"> </w:t>
      </w:r>
      <w:r w:rsidRPr="00624D5A">
        <w:rPr>
          <w:rFonts w:ascii="Arial" w:hAnsi="Arial" w:cs="Arial"/>
        </w:rPr>
        <w:t xml:space="preserve">Representam, por certo, um retrocesso social, posto que não se </w:t>
      </w:r>
      <w:proofErr w:type="gramStart"/>
      <w:r w:rsidRPr="00624D5A">
        <w:rPr>
          <w:rFonts w:ascii="Arial" w:hAnsi="Arial" w:cs="Arial"/>
        </w:rPr>
        <w:t>preocupam</w:t>
      </w:r>
      <w:proofErr w:type="gramEnd"/>
      <w:r w:rsidRPr="00624D5A">
        <w:rPr>
          <w:rFonts w:ascii="Arial" w:hAnsi="Arial" w:cs="Arial"/>
        </w:rPr>
        <w:t xml:space="preserve"> com o indivíduo e nem na preservação da dignidade humana, o que resultará, a longo prazo, na ineficácia do sistema e insegurança </w:t>
      </w:r>
      <w:proofErr w:type="gramStart"/>
      <w:r w:rsidRPr="00624D5A">
        <w:rPr>
          <w:rFonts w:ascii="Arial" w:hAnsi="Arial" w:cs="Arial"/>
        </w:rPr>
        <w:t>geral</w:t>
      </w:r>
      <w:proofErr w:type="gramEnd"/>
      <w:r w:rsidRPr="00624D5A">
        <w:rPr>
          <w:rFonts w:ascii="Arial" w:hAnsi="Arial" w:cs="Arial"/>
        </w:rPr>
        <w:t>.</w:t>
      </w:r>
    </w:p>
    <w:p w:rsidR="0096539D" w:rsidRPr="00624D5A" w:rsidRDefault="0096539D" w:rsidP="00624D5A">
      <w:pPr>
        <w:spacing w:after="0" w:line="240" w:lineRule="auto"/>
        <w:ind w:firstLine="851"/>
        <w:jc w:val="both"/>
        <w:rPr>
          <w:rFonts w:ascii="Arial" w:eastAsia="Arial" w:hAnsi="Arial" w:cs="Arial"/>
          <w:sz w:val="24"/>
          <w:szCs w:val="24"/>
        </w:rPr>
      </w:pPr>
    </w:p>
    <w:p w:rsidR="00CD66CB" w:rsidRPr="00624D5A" w:rsidRDefault="00CD66CB" w:rsidP="00624D5A">
      <w:pPr>
        <w:pStyle w:val="Ttulo1"/>
        <w:spacing w:before="0" w:after="0"/>
        <w:rPr>
          <w:rFonts w:eastAsia="Arial"/>
          <w:szCs w:val="24"/>
        </w:rPr>
      </w:pPr>
      <w:r w:rsidRPr="00624D5A">
        <w:rPr>
          <w:szCs w:val="24"/>
        </w:rPr>
        <w:t xml:space="preserve">Referências </w:t>
      </w:r>
      <w:r w:rsidR="003E6202" w:rsidRPr="00624D5A">
        <w:rPr>
          <w:szCs w:val="24"/>
        </w:rPr>
        <w:t>Bibliográficas</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 xml:space="preserve">BERTRAMELLO, </w:t>
      </w:r>
      <w:proofErr w:type="gramStart"/>
      <w:r w:rsidRPr="00624D5A">
        <w:rPr>
          <w:rFonts w:ascii="Arial" w:hAnsi="Arial" w:cs="Arial"/>
          <w:sz w:val="24"/>
          <w:szCs w:val="24"/>
        </w:rPr>
        <w:t>Rafael .</w:t>
      </w:r>
      <w:proofErr w:type="gramEnd"/>
      <w:r w:rsidRPr="00624D5A">
        <w:rPr>
          <w:rFonts w:ascii="Arial" w:hAnsi="Arial" w:cs="Arial"/>
          <w:sz w:val="24"/>
          <w:szCs w:val="24"/>
        </w:rPr>
        <w:t xml:space="preserve"> Os Direitos Sociais: Conceito, Finalidade e Teorias. Disponível em: &lt;http://rafaelbertramello.jusbrasil.com.br/artigos/121943093/os-direitos-sociais-conceito-finalidade-e-teorias&gt;Acesso em 19.05.2016.</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lastRenderedPageBreak/>
        <w:t xml:space="preserve">BENEVIDES, Maria Victoria. Direitos Humanos: Desafios Para o Século XXI. In: SILVEIRA, Maria Godoy </w:t>
      </w:r>
      <w:proofErr w:type="gramStart"/>
      <w:r w:rsidRPr="00624D5A">
        <w:rPr>
          <w:rFonts w:ascii="Arial" w:hAnsi="Arial" w:cs="Arial"/>
          <w:sz w:val="24"/>
          <w:szCs w:val="24"/>
        </w:rPr>
        <w:t>et</w:t>
      </w:r>
      <w:proofErr w:type="gramEnd"/>
      <w:r w:rsidRPr="00624D5A">
        <w:rPr>
          <w:rFonts w:ascii="Arial" w:hAnsi="Arial" w:cs="Arial"/>
          <w:sz w:val="24"/>
          <w:szCs w:val="24"/>
        </w:rPr>
        <w:t xml:space="preserve"> al. Educação em Direitos Humanos: Fundamentos Teórico-Metodológicos. João Pessoa: Editora Universitária, 2007, pp.335-350.</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BERWANGER, Jane Lúcia (</w:t>
      </w:r>
      <w:proofErr w:type="spellStart"/>
      <w:r w:rsidRPr="00624D5A">
        <w:rPr>
          <w:rFonts w:ascii="Arial" w:hAnsi="Arial" w:cs="Arial"/>
          <w:sz w:val="24"/>
          <w:szCs w:val="24"/>
        </w:rPr>
        <w:t>Cood</w:t>
      </w:r>
      <w:proofErr w:type="spellEnd"/>
      <w:r w:rsidRPr="00624D5A">
        <w:rPr>
          <w:rFonts w:ascii="Arial" w:hAnsi="Arial" w:cs="Arial"/>
          <w:sz w:val="24"/>
          <w:szCs w:val="24"/>
        </w:rPr>
        <w:t>): SERAU JR, Marco Aurélio; FOLMANN, Melissa – Previdência em Tempo de Reformas – Porto Alegre: Magister, 2015.</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 xml:space="preserve">BRASIL. Lei de </w:t>
      </w:r>
      <w:proofErr w:type="spellStart"/>
      <w:r w:rsidRPr="00624D5A">
        <w:rPr>
          <w:rFonts w:ascii="Arial" w:hAnsi="Arial" w:cs="Arial"/>
          <w:sz w:val="24"/>
          <w:szCs w:val="24"/>
        </w:rPr>
        <w:t>Beneficios</w:t>
      </w:r>
      <w:proofErr w:type="spellEnd"/>
      <w:r w:rsidRPr="00624D5A">
        <w:rPr>
          <w:rFonts w:ascii="Arial" w:hAnsi="Arial" w:cs="Arial"/>
          <w:sz w:val="24"/>
          <w:szCs w:val="24"/>
        </w:rPr>
        <w:t xml:space="preserve"> da </w:t>
      </w:r>
      <w:proofErr w:type="spellStart"/>
      <w:r w:rsidRPr="00624D5A">
        <w:rPr>
          <w:rFonts w:ascii="Arial" w:hAnsi="Arial" w:cs="Arial"/>
          <w:sz w:val="24"/>
          <w:szCs w:val="24"/>
        </w:rPr>
        <w:t>Previdencia</w:t>
      </w:r>
      <w:proofErr w:type="spellEnd"/>
      <w:r w:rsidRPr="00624D5A">
        <w:rPr>
          <w:rFonts w:ascii="Arial" w:hAnsi="Arial" w:cs="Arial"/>
          <w:sz w:val="24"/>
          <w:szCs w:val="24"/>
        </w:rPr>
        <w:t xml:space="preserve"> Social Lei </w:t>
      </w:r>
      <w:proofErr w:type="gramStart"/>
      <w:r w:rsidRPr="00624D5A">
        <w:rPr>
          <w:rFonts w:ascii="Arial" w:hAnsi="Arial" w:cs="Arial"/>
          <w:sz w:val="24"/>
          <w:szCs w:val="24"/>
        </w:rPr>
        <w:t>8213/91.</w:t>
      </w:r>
      <w:proofErr w:type="gramEnd"/>
      <w:r w:rsidRPr="00624D5A">
        <w:rPr>
          <w:rFonts w:ascii="Arial" w:hAnsi="Arial" w:cs="Arial"/>
          <w:sz w:val="24"/>
          <w:szCs w:val="24"/>
        </w:rPr>
        <w:t xml:space="preserve">Disponível em: &lt;http://jus.brasil.com.br/tópicos/11362645/art-9-da-lei-de-beneficios-da-previdencia-social-lei-8213-91&gt; acesso em 15.05.16 </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 xml:space="preserve">BRASIL. Constituição Federal de 1988. </w:t>
      </w:r>
      <w:proofErr w:type="spellStart"/>
      <w:proofErr w:type="gramStart"/>
      <w:r w:rsidRPr="00624D5A">
        <w:rPr>
          <w:rFonts w:ascii="Arial" w:hAnsi="Arial" w:cs="Arial"/>
          <w:sz w:val="24"/>
          <w:szCs w:val="24"/>
        </w:rPr>
        <w:t>art</w:t>
      </w:r>
      <w:proofErr w:type="spellEnd"/>
      <w:proofErr w:type="gramEnd"/>
      <w:r w:rsidRPr="00624D5A">
        <w:rPr>
          <w:rFonts w:ascii="Arial" w:hAnsi="Arial" w:cs="Arial"/>
          <w:sz w:val="24"/>
          <w:szCs w:val="24"/>
        </w:rPr>
        <w:t xml:space="preserve"> 194. Disponível em: &lt; www.planalto.gov.br/ccivil03/ </w:t>
      </w:r>
      <w:proofErr w:type="spellStart"/>
      <w:r w:rsidRPr="00624D5A">
        <w:rPr>
          <w:rFonts w:ascii="Arial" w:hAnsi="Arial" w:cs="Arial"/>
          <w:sz w:val="24"/>
          <w:szCs w:val="24"/>
        </w:rPr>
        <w:t>Constituicao</w:t>
      </w:r>
      <w:proofErr w:type="spellEnd"/>
      <w:r w:rsidRPr="00624D5A">
        <w:rPr>
          <w:rFonts w:ascii="Arial" w:hAnsi="Arial" w:cs="Arial"/>
          <w:sz w:val="24"/>
          <w:szCs w:val="24"/>
        </w:rPr>
        <w:t>/</w:t>
      </w:r>
      <w:proofErr w:type="spellStart"/>
      <w:r w:rsidRPr="00624D5A">
        <w:rPr>
          <w:rFonts w:ascii="Arial" w:hAnsi="Arial" w:cs="Arial"/>
          <w:sz w:val="24"/>
          <w:szCs w:val="24"/>
        </w:rPr>
        <w:t>Constituicao</w:t>
      </w:r>
      <w:proofErr w:type="spellEnd"/>
      <w:r w:rsidRPr="00624D5A">
        <w:rPr>
          <w:rFonts w:ascii="Arial" w:hAnsi="Arial" w:cs="Arial"/>
          <w:sz w:val="24"/>
          <w:szCs w:val="24"/>
        </w:rPr>
        <w:t>&gt;Acesso em 25.05.16</w:t>
      </w:r>
    </w:p>
    <w:p w:rsidR="002C4E16" w:rsidRPr="00624D5A" w:rsidRDefault="002C4E16" w:rsidP="00624D5A">
      <w:pPr>
        <w:spacing w:after="0" w:line="240" w:lineRule="auto"/>
        <w:jc w:val="both"/>
        <w:rPr>
          <w:rFonts w:ascii="Arial" w:hAnsi="Arial" w:cs="Arial"/>
          <w:sz w:val="24"/>
          <w:szCs w:val="24"/>
        </w:rPr>
      </w:pPr>
      <w:proofErr w:type="gramStart"/>
      <w:r w:rsidRPr="00624D5A">
        <w:rPr>
          <w:rFonts w:ascii="Arial" w:hAnsi="Arial" w:cs="Arial"/>
          <w:sz w:val="24"/>
          <w:szCs w:val="24"/>
        </w:rPr>
        <w:t>CONCEITO.</w:t>
      </w:r>
      <w:proofErr w:type="gramEnd"/>
      <w:r w:rsidRPr="00624D5A">
        <w:rPr>
          <w:rFonts w:ascii="Arial" w:hAnsi="Arial" w:cs="Arial"/>
          <w:sz w:val="24"/>
          <w:szCs w:val="24"/>
        </w:rPr>
        <w:t xml:space="preserve">de- O que é, Definição e Significado. Disponível em:&lt;http://conceito.de/ </w:t>
      </w:r>
      <w:proofErr w:type="spellStart"/>
      <w:r w:rsidRPr="00624D5A">
        <w:rPr>
          <w:rFonts w:ascii="Arial" w:hAnsi="Arial" w:cs="Arial"/>
          <w:sz w:val="24"/>
          <w:szCs w:val="24"/>
        </w:rPr>
        <w:t>dependencia</w:t>
      </w:r>
      <w:proofErr w:type="spellEnd"/>
      <w:r w:rsidRPr="00624D5A">
        <w:rPr>
          <w:rFonts w:ascii="Arial" w:hAnsi="Arial" w:cs="Arial"/>
          <w:sz w:val="24"/>
          <w:szCs w:val="24"/>
        </w:rPr>
        <w:t xml:space="preserve"> #ixzz48Iz0IRjn&gt; Acesso em 10.05.2016</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 xml:space="preserve">DAMACENA, </w:t>
      </w:r>
      <w:proofErr w:type="spellStart"/>
      <w:r w:rsidRPr="00624D5A">
        <w:rPr>
          <w:rFonts w:ascii="Arial" w:hAnsi="Arial" w:cs="Arial"/>
          <w:sz w:val="24"/>
          <w:szCs w:val="24"/>
        </w:rPr>
        <w:t>Aldinei</w:t>
      </w:r>
      <w:proofErr w:type="spellEnd"/>
      <w:r w:rsidRPr="00624D5A">
        <w:rPr>
          <w:rFonts w:ascii="Arial" w:hAnsi="Arial" w:cs="Arial"/>
          <w:sz w:val="24"/>
          <w:szCs w:val="24"/>
        </w:rPr>
        <w:t xml:space="preserve"> </w:t>
      </w:r>
      <w:proofErr w:type="gramStart"/>
      <w:r w:rsidRPr="00624D5A">
        <w:rPr>
          <w:rFonts w:ascii="Arial" w:hAnsi="Arial" w:cs="Arial"/>
          <w:sz w:val="24"/>
          <w:szCs w:val="24"/>
        </w:rPr>
        <w:t>Rodrigues .</w:t>
      </w:r>
      <w:proofErr w:type="gramEnd"/>
      <w:r w:rsidRPr="00624D5A">
        <w:rPr>
          <w:rFonts w:ascii="Arial" w:hAnsi="Arial" w:cs="Arial"/>
          <w:sz w:val="24"/>
          <w:szCs w:val="24"/>
        </w:rPr>
        <w:t xml:space="preserve"> DIREITO PREVIDENCIÁRIO: LEI ORGÂNICA DE ASSISTÊNCIA SOCIAL. Artigo. 2008. Disponível em: &lt; http://www.webartigos.com/ artigos/direito-previdenciario-lei-organica-de-assistencia-social-loas/63647/#ixzz48h l9POna&gt; </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Documento Oficial Declaração Universal dos Direitos do Homem. &lt;http://www.humanrights.com/pt/what-are-human-rights/universal-declaration-of-human-rights/articles-21-30.html&gt; acesso em 31.05.16</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 xml:space="preserve">DICIO. Dicionário </w:t>
      </w:r>
      <w:proofErr w:type="spellStart"/>
      <w:r w:rsidRPr="00624D5A">
        <w:rPr>
          <w:rFonts w:ascii="Arial" w:hAnsi="Arial" w:cs="Arial"/>
          <w:sz w:val="24"/>
          <w:szCs w:val="24"/>
        </w:rPr>
        <w:t>on</w:t>
      </w:r>
      <w:proofErr w:type="spellEnd"/>
      <w:r w:rsidRPr="00624D5A">
        <w:rPr>
          <w:rFonts w:ascii="Arial" w:hAnsi="Arial" w:cs="Arial"/>
          <w:sz w:val="24"/>
          <w:szCs w:val="24"/>
        </w:rPr>
        <w:t xml:space="preserve"> </w:t>
      </w:r>
      <w:proofErr w:type="spellStart"/>
      <w:r w:rsidRPr="00624D5A">
        <w:rPr>
          <w:rFonts w:ascii="Arial" w:hAnsi="Arial" w:cs="Arial"/>
          <w:sz w:val="24"/>
          <w:szCs w:val="24"/>
        </w:rPr>
        <w:t>line</w:t>
      </w:r>
      <w:proofErr w:type="spellEnd"/>
      <w:r w:rsidRPr="00624D5A">
        <w:rPr>
          <w:rFonts w:ascii="Arial" w:hAnsi="Arial" w:cs="Arial"/>
          <w:sz w:val="24"/>
          <w:szCs w:val="24"/>
        </w:rPr>
        <w:t xml:space="preserve">. </w:t>
      </w:r>
      <w:proofErr w:type="spellStart"/>
      <w:r w:rsidRPr="00624D5A">
        <w:rPr>
          <w:rFonts w:ascii="Arial" w:hAnsi="Arial" w:cs="Arial"/>
          <w:sz w:val="24"/>
          <w:szCs w:val="24"/>
        </w:rPr>
        <w:t>Etm</w:t>
      </w:r>
      <w:proofErr w:type="spellEnd"/>
      <w:r w:rsidRPr="00624D5A">
        <w:rPr>
          <w:rFonts w:ascii="Arial" w:hAnsi="Arial" w:cs="Arial"/>
          <w:sz w:val="24"/>
          <w:szCs w:val="24"/>
        </w:rPr>
        <w:t xml:space="preserve">. </w:t>
      </w:r>
      <w:proofErr w:type="gramStart"/>
      <w:r w:rsidRPr="00624D5A">
        <w:rPr>
          <w:rFonts w:ascii="Arial" w:hAnsi="Arial" w:cs="Arial"/>
          <w:sz w:val="24"/>
          <w:szCs w:val="24"/>
        </w:rPr>
        <w:t>do</w:t>
      </w:r>
      <w:proofErr w:type="gramEnd"/>
      <w:r w:rsidRPr="00624D5A">
        <w:rPr>
          <w:rFonts w:ascii="Arial" w:hAnsi="Arial" w:cs="Arial"/>
          <w:sz w:val="24"/>
          <w:szCs w:val="24"/>
        </w:rPr>
        <w:t xml:space="preserve"> latim: praevidentia.ae. Disponível em: &lt;http://www.dicio.com.br/previdencia/&gt; Acesso em 25.05.2016</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DICIONÁRIO de sinônimos. Disponível em: &lt;http://www.sinonimos.com.br/&gt;Acesso em 25.05.2016.&gt;</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 xml:space="preserve">FOLMANN, Melissa: MORAES, João Marcelino. Pensão por morte de acordo com a Lei 13.135/15. São Paulo: </w:t>
      </w:r>
      <w:proofErr w:type="spellStart"/>
      <w:proofErr w:type="gramStart"/>
      <w:r w:rsidRPr="00624D5A">
        <w:rPr>
          <w:rFonts w:ascii="Arial" w:hAnsi="Arial" w:cs="Arial"/>
          <w:sz w:val="24"/>
          <w:szCs w:val="24"/>
        </w:rPr>
        <w:t>LTr</w:t>
      </w:r>
      <w:proofErr w:type="spellEnd"/>
      <w:proofErr w:type="gramEnd"/>
      <w:r w:rsidRPr="00624D5A">
        <w:rPr>
          <w:rFonts w:ascii="Arial" w:hAnsi="Arial" w:cs="Arial"/>
          <w:sz w:val="24"/>
          <w:szCs w:val="24"/>
        </w:rPr>
        <w:t>, 2015.</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GOES, Hugo Medeiros, 1968 – Manual de direito previdenciário: teoria e questões. – 10. Ed. – Rio de Janeiro: Ed. Ferreira, 2015.</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 xml:space="preserve">HORVATH Júnior, Miguel. Os direitos fundamentais e a seguridade social. In: Âmbito Jurídico, Rio Grande, IX, n. 31, </w:t>
      </w:r>
      <w:proofErr w:type="spellStart"/>
      <w:r w:rsidRPr="00624D5A">
        <w:rPr>
          <w:rFonts w:ascii="Arial" w:hAnsi="Arial" w:cs="Arial"/>
          <w:sz w:val="24"/>
          <w:szCs w:val="24"/>
        </w:rPr>
        <w:t>jul</w:t>
      </w:r>
      <w:proofErr w:type="spellEnd"/>
      <w:r w:rsidRPr="00624D5A">
        <w:rPr>
          <w:rFonts w:ascii="Arial" w:hAnsi="Arial" w:cs="Arial"/>
          <w:sz w:val="24"/>
          <w:szCs w:val="24"/>
        </w:rPr>
        <w:t xml:space="preserve"> 2006. Disponível em: &lt;</w:t>
      </w:r>
      <w:proofErr w:type="gramStart"/>
      <w:r w:rsidRPr="00624D5A">
        <w:rPr>
          <w:rFonts w:ascii="Arial" w:hAnsi="Arial" w:cs="Arial"/>
          <w:sz w:val="24"/>
          <w:szCs w:val="24"/>
        </w:rPr>
        <w:t>http://www.ambito-juridico.com.br/site/index.</w:t>
      </w:r>
      <w:proofErr w:type="gramEnd"/>
      <w:r w:rsidRPr="00624D5A">
        <w:rPr>
          <w:rFonts w:ascii="Arial" w:hAnsi="Arial" w:cs="Arial"/>
          <w:sz w:val="24"/>
          <w:szCs w:val="24"/>
        </w:rPr>
        <w:t>php?</w:t>
      </w:r>
      <w:proofErr w:type="gramStart"/>
      <w:r w:rsidRPr="00624D5A">
        <w:rPr>
          <w:rFonts w:ascii="Arial" w:hAnsi="Arial" w:cs="Arial"/>
          <w:sz w:val="24"/>
          <w:szCs w:val="24"/>
        </w:rPr>
        <w:t>n_link</w:t>
      </w:r>
      <w:proofErr w:type="gramEnd"/>
      <w:r w:rsidRPr="00624D5A">
        <w:rPr>
          <w:rFonts w:ascii="Arial" w:hAnsi="Arial" w:cs="Arial"/>
          <w:sz w:val="24"/>
          <w:szCs w:val="24"/>
        </w:rPr>
        <w:t>=revista_artigos_leitura&amp;artigo_id=1204&gt; Acesso em 12 /03/16.</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 xml:space="preserve">IBRAHIM, Fábio </w:t>
      </w:r>
      <w:proofErr w:type="spellStart"/>
      <w:r w:rsidRPr="00624D5A">
        <w:rPr>
          <w:rFonts w:ascii="Arial" w:hAnsi="Arial" w:cs="Arial"/>
          <w:sz w:val="24"/>
          <w:szCs w:val="24"/>
        </w:rPr>
        <w:t>Zambitte</w:t>
      </w:r>
      <w:proofErr w:type="spellEnd"/>
      <w:r w:rsidRPr="00624D5A">
        <w:rPr>
          <w:rFonts w:ascii="Arial" w:hAnsi="Arial" w:cs="Arial"/>
          <w:sz w:val="24"/>
          <w:szCs w:val="24"/>
        </w:rPr>
        <w:t xml:space="preserve">. Curso de direito previdenciário. – 20. </w:t>
      </w:r>
      <w:proofErr w:type="gramStart"/>
      <w:r w:rsidRPr="00624D5A">
        <w:rPr>
          <w:rFonts w:ascii="Arial" w:hAnsi="Arial" w:cs="Arial"/>
          <w:sz w:val="24"/>
          <w:szCs w:val="24"/>
        </w:rPr>
        <w:t>ed.</w:t>
      </w:r>
      <w:proofErr w:type="gramEnd"/>
      <w:r w:rsidRPr="00624D5A">
        <w:rPr>
          <w:rFonts w:ascii="Arial" w:hAnsi="Arial" w:cs="Arial"/>
          <w:sz w:val="24"/>
          <w:szCs w:val="24"/>
        </w:rPr>
        <w:t xml:space="preserve"> – Rio de Janeiro: </w:t>
      </w:r>
      <w:proofErr w:type="spellStart"/>
      <w:r w:rsidRPr="00624D5A">
        <w:rPr>
          <w:rFonts w:ascii="Arial" w:hAnsi="Arial" w:cs="Arial"/>
          <w:sz w:val="24"/>
          <w:szCs w:val="24"/>
        </w:rPr>
        <w:t>Impetus</w:t>
      </w:r>
      <w:proofErr w:type="spellEnd"/>
      <w:r w:rsidRPr="00624D5A">
        <w:rPr>
          <w:rFonts w:ascii="Arial" w:hAnsi="Arial" w:cs="Arial"/>
          <w:sz w:val="24"/>
          <w:szCs w:val="24"/>
        </w:rPr>
        <w:t>, 2015.</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MARTINEZ, Wladimir Novaes. Curso de Direito Previdenciário. São Paulo: LTR, 2014.</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______</w:t>
      </w:r>
      <w:proofErr w:type="gramStart"/>
      <w:r w:rsidRPr="00624D5A">
        <w:rPr>
          <w:rFonts w:ascii="Arial" w:hAnsi="Arial" w:cs="Arial"/>
          <w:sz w:val="24"/>
          <w:szCs w:val="24"/>
        </w:rPr>
        <w:t>.</w:t>
      </w:r>
      <w:proofErr w:type="gramEnd"/>
      <w:r w:rsidRPr="00624D5A">
        <w:rPr>
          <w:rFonts w:ascii="Arial" w:hAnsi="Arial" w:cs="Arial"/>
          <w:sz w:val="24"/>
          <w:szCs w:val="24"/>
        </w:rPr>
        <w:t xml:space="preserve">Curso de Direito Previdenciário: Tomo I – Noções de Direito Previdenciário. São Paulo: </w:t>
      </w:r>
      <w:proofErr w:type="spellStart"/>
      <w:proofErr w:type="gramStart"/>
      <w:r w:rsidRPr="00624D5A">
        <w:rPr>
          <w:rFonts w:ascii="Arial" w:hAnsi="Arial" w:cs="Arial"/>
          <w:sz w:val="24"/>
          <w:szCs w:val="24"/>
        </w:rPr>
        <w:t>LTr</w:t>
      </w:r>
      <w:proofErr w:type="spellEnd"/>
      <w:proofErr w:type="gramEnd"/>
      <w:r w:rsidRPr="00624D5A">
        <w:rPr>
          <w:rFonts w:ascii="Arial" w:hAnsi="Arial" w:cs="Arial"/>
          <w:sz w:val="24"/>
          <w:szCs w:val="24"/>
        </w:rPr>
        <w:t>, 1997.</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MARTINS, Sérgio Pinto. – Direito da Seguridade Social – 34. Ed. – São Paulo: Atlas, 2014.</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 xml:space="preserve">BRASIL. </w:t>
      </w:r>
      <w:r w:rsidRPr="00624D5A">
        <w:rPr>
          <w:rFonts w:ascii="Arial" w:hAnsi="Arial" w:cs="Arial"/>
          <w:sz w:val="24"/>
          <w:szCs w:val="24"/>
        </w:rPr>
        <w:t xml:space="preserve">Ministério do Trabalho e Previdência Social. Disponível em: &lt;http://www.mtps.gov.br/guia-da-previdencia-social&gt; Acesso em 10.05.16 </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 xml:space="preserve">BRASIL </w:t>
      </w:r>
      <w:r w:rsidRPr="00624D5A">
        <w:rPr>
          <w:rFonts w:ascii="Arial" w:hAnsi="Arial" w:cs="Arial"/>
          <w:sz w:val="24"/>
          <w:szCs w:val="24"/>
        </w:rPr>
        <w:t>Ministério do Desenvolvimento Social e Agrário. Disponível em:&lt;http://mds.gov.br/assuntos/assistencia-social/beneficios-assistenciais&gt; Acesso em 24/05/16.</w:t>
      </w:r>
    </w:p>
    <w:p w:rsidR="002C4E16"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t xml:space="preserve">NOLASCO, </w:t>
      </w:r>
      <w:proofErr w:type="spellStart"/>
      <w:r w:rsidRPr="00624D5A">
        <w:rPr>
          <w:rFonts w:ascii="Arial" w:hAnsi="Arial" w:cs="Arial"/>
          <w:sz w:val="24"/>
          <w:szCs w:val="24"/>
        </w:rPr>
        <w:t>Lincon</w:t>
      </w:r>
      <w:proofErr w:type="spellEnd"/>
      <w:r w:rsidRPr="00624D5A">
        <w:rPr>
          <w:rFonts w:ascii="Arial" w:hAnsi="Arial" w:cs="Arial"/>
          <w:sz w:val="24"/>
          <w:szCs w:val="24"/>
        </w:rPr>
        <w:t>. Evolução histórica da previdência social no Brasil e no mundo. Artigo. Disponível em: &lt;http://www.ambito-juridico.com.br/site/?</w:t>
      </w:r>
      <w:proofErr w:type="gramStart"/>
      <w:r w:rsidRPr="00624D5A">
        <w:rPr>
          <w:rFonts w:ascii="Arial" w:hAnsi="Arial" w:cs="Arial"/>
          <w:sz w:val="24"/>
          <w:szCs w:val="24"/>
        </w:rPr>
        <w:t>n_link</w:t>
      </w:r>
      <w:proofErr w:type="gramEnd"/>
      <w:r w:rsidRPr="00624D5A">
        <w:rPr>
          <w:rFonts w:ascii="Arial" w:hAnsi="Arial" w:cs="Arial"/>
          <w:sz w:val="24"/>
          <w:szCs w:val="24"/>
        </w:rPr>
        <w:t xml:space="preserve">=revista_ </w:t>
      </w:r>
      <w:proofErr w:type="spellStart"/>
      <w:r w:rsidRPr="00624D5A">
        <w:rPr>
          <w:rFonts w:ascii="Arial" w:hAnsi="Arial" w:cs="Arial"/>
          <w:sz w:val="24"/>
          <w:szCs w:val="24"/>
        </w:rPr>
        <w:t>artigos_leitura&amp;artigo_id</w:t>
      </w:r>
      <w:proofErr w:type="spellEnd"/>
      <w:r w:rsidRPr="00624D5A">
        <w:rPr>
          <w:rFonts w:ascii="Arial" w:hAnsi="Arial" w:cs="Arial"/>
          <w:sz w:val="24"/>
          <w:szCs w:val="24"/>
        </w:rPr>
        <w:t>=11335&amp;revista_ caderno =20&gt; Acesso em 10.05.2016</w:t>
      </w:r>
    </w:p>
    <w:p w:rsidR="002C4E16" w:rsidRPr="00624D5A" w:rsidRDefault="002C4E16" w:rsidP="000049FC">
      <w:pPr>
        <w:rPr>
          <w:rFonts w:ascii="Arial" w:hAnsi="Arial" w:cs="Arial"/>
          <w:sz w:val="24"/>
          <w:szCs w:val="24"/>
        </w:rPr>
      </w:pPr>
      <w:r w:rsidRPr="00624D5A">
        <w:rPr>
          <w:rFonts w:ascii="Arial" w:hAnsi="Arial" w:cs="Arial"/>
          <w:sz w:val="24"/>
          <w:szCs w:val="24"/>
        </w:rPr>
        <w:t xml:space="preserve">PREVIDENCIÁRIA SOCIAL. Serviços. Disponível em: &lt;http://www.agencia. </w:t>
      </w:r>
      <w:proofErr w:type="gramStart"/>
      <w:r w:rsidRPr="00624D5A">
        <w:rPr>
          <w:rFonts w:ascii="Arial" w:hAnsi="Arial" w:cs="Arial"/>
          <w:sz w:val="24"/>
          <w:szCs w:val="24"/>
        </w:rPr>
        <w:t>previdencia</w:t>
      </w:r>
      <w:proofErr w:type="gramEnd"/>
      <w:r w:rsidRPr="00624D5A">
        <w:rPr>
          <w:rFonts w:ascii="Arial" w:hAnsi="Arial" w:cs="Arial"/>
          <w:sz w:val="24"/>
          <w:szCs w:val="24"/>
        </w:rPr>
        <w:t>.gov.br/</w:t>
      </w:r>
      <w:proofErr w:type="spellStart"/>
      <w:r w:rsidRPr="00624D5A">
        <w:rPr>
          <w:rFonts w:ascii="Arial" w:hAnsi="Arial" w:cs="Arial"/>
          <w:sz w:val="24"/>
          <w:szCs w:val="24"/>
        </w:rPr>
        <w:t>e-aps</w:t>
      </w:r>
      <w:proofErr w:type="spellEnd"/>
      <w:r w:rsidRPr="00624D5A">
        <w:rPr>
          <w:rFonts w:ascii="Arial" w:hAnsi="Arial" w:cs="Arial"/>
          <w:sz w:val="24"/>
          <w:szCs w:val="24"/>
        </w:rPr>
        <w:t>/</w:t>
      </w:r>
      <w:proofErr w:type="spellStart"/>
      <w:r w:rsidRPr="00624D5A">
        <w:rPr>
          <w:rFonts w:ascii="Arial" w:hAnsi="Arial" w:cs="Arial"/>
          <w:sz w:val="24"/>
          <w:szCs w:val="24"/>
        </w:rPr>
        <w:t>servico</w:t>
      </w:r>
      <w:proofErr w:type="spellEnd"/>
      <w:r w:rsidRPr="00624D5A">
        <w:rPr>
          <w:rFonts w:ascii="Arial" w:hAnsi="Arial" w:cs="Arial"/>
          <w:sz w:val="24"/>
          <w:szCs w:val="24"/>
        </w:rPr>
        <w:t>/352&gt; Acesso em 28.04.16.</w:t>
      </w:r>
    </w:p>
    <w:p w:rsidR="00077A5B" w:rsidRPr="00624D5A" w:rsidRDefault="002C4E16" w:rsidP="00624D5A">
      <w:pPr>
        <w:spacing w:after="0" w:line="240" w:lineRule="auto"/>
        <w:jc w:val="both"/>
        <w:rPr>
          <w:rFonts w:ascii="Arial" w:hAnsi="Arial" w:cs="Arial"/>
          <w:sz w:val="24"/>
          <w:szCs w:val="24"/>
        </w:rPr>
      </w:pPr>
      <w:r w:rsidRPr="00624D5A">
        <w:rPr>
          <w:rFonts w:ascii="Arial" w:hAnsi="Arial" w:cs="Arial"/>
          <w:sz w:val="24"/>
          <w:szCs w:val="24"/>
        </w:rPr>
        <w:lastRenderedPageBreak/>
        <w:t>REIS, Jair Teixeira dos. Resumo de direito previdenciário. –</w:t>
      </w:r>
      <w:r w:rsidRPr="00624D5A">
        <w:rPr>
          <w:rFonts w:ascii="Arial" w:hAnsi="Arial" w:cs="Arial"/>
          <w:sz w:val="24"/>
          <w:szCs w:val="24"/>
        </w:rPr>
        <w:t xml:space="preserve"> 2. Ed. – São Paulo: </w:t>
      </w:r>
      <w:proofErr w:type="spellStart"/>
      <w:r w:rsidRPr="00624D5A">
        <w:rPr>
          <w:rFonts w:ascii="Arial" w:hAnsi="Arial" w:cs="Arial"/>
          <w:sz w:val="24"/>
          <w:szCs w:val="24"/>
        </w:rPr>
        <w:t>Ltr</w:t>
      </w:r>
      <w:proofErr w:type="spellEnd"/>
      <w:r w:rsidRPr="00624D5A">
        <w:rPr>
          <w:rFonts w:ascii="Arial" w:hAnsi="Arial" w:cs="Arial"/>
          <w:sz w:val="24"/>
          <w:szCs w:val="24"/>
        </w:rPr>
        <w:t>, 2015.</w:t>
      </w:r>
    </w:p>
    <w:sectPr w:rsidR="00077A5B" w:rsidRPr="00624D5A" w:rsidSect="00E11EAC">
      <w:headerReference w:type="default" r:id="rId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6330" w:rsidRDefault="00506330" w:rsidP="00504336">
      <w:pPr>
        <w:spacing w:after="0" w:line="240" w:lineRule="auto"/>
      </w:pPr>
      <w:r>
        <w:separator/>
      </w:r>
    </w:p>
  </w:endnote>
  <w:endnote w:type="continuationSeparator" w:id="0">
    <w:p w:rsidR="00506330" w:rsidRDefault="00506330" w:rsidP="005043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altName w:val="Bookman Old Style"/>
    <w:panose1 w:val="020506040505050202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6330" w:rsidRDefault="00506330" w:rsidP="00504336">
      <w:pPr>
        <w:spacing w:after="0" w:line="240" w:lineRule="auto"/>
      </w:pPr>
      <w:r>
        <w:separator/>
      </w:r>
    </w:p>
  </w:footnote>
  <w:footnote w:type="continuationSeparator" w:id="0">
    <w:p w:rsidR="00506330" w:rsidRDefault="00506330" w:rsidP="00504336">
      <w:pPr>
        <w:spacing w:after="0" w:line="240" w:lineRule="auto"/>
      </w:pPr>
      <w:r>
        <w:continuationSeparator/>
      </w:r>
    </w:p>
  </w:footnote>
  <w:footnote w:id="1">
    <w:p w:rsidR="0066353E" w:rsidRPr="003B7CA9" w:rsidRDefault="0066353E" w:rsidP="00814699">
      <w:pPr>
        <w:pStyle w:val="Textodenotaderodap"/>
        <w:jc w:val="both"/>
        <w:rPr>
          <w:rFonts w:ascii="Arial" w:hAnsi="Arial" w:cs="Arial"/>
        </w:rPr>
      </w:pPr>
      <w:r w:rsidRPr="003B7CA9">
        <w:rPr>
          <w:rStyle w:val="Refdenotaderodap"/>
          <w:rFonts w:ascii="Arial" w:hAnsi="Arial" w:cs="Arial"/>
        </w:rPr>
        <w:footnoteRef/>
      </w:r>
      <w:r w:rsidRPr="003B7CA9">
        <w:rPr>
          <w:rFonts w:ascii="Arial" w:hAnsi="Arial" w:cs="Arial"/>
        </w:rPr>
        <w:t xml:space="preserve"> Este trabalho foi compilado a partir do Tra</w:t>
      </w:r>
      <w:bookmarkStart w:id="0" w:name="_GoBack"/>
      <w:bookmarkEnd w:id="0"/>
      <w:r w:rsidRPr="003B7CA9">
        <w:rPr>
          <w:rFonts w:ascii="Arial" w:hAnsi="Arial" w:cs="Arial"/>
        </w:rPr>
        <w:t>balho de Conclusão de Curso da coautora, aprovado por excelência no ano de 2015. Sua pesquisa foi possível a partir da conjugação de esforços junto ao Grupo de Pesquisa “Regimes e Modelos Jurídicos, Econômicos, Ambientais e Internacionais nas Pessoas Jurídicas de Direito Privado” do curso de Direito na UNAERP Campus Guarujá.</w:t>
      </w:r>
    </w:p>
    <w:p w:rsidR="0066353E" w:rsidRPr="003B7CA9" w:rsidRDefault="0066353E">
      <w:pPr>
        <w:pStyle w:val="Textodenotaderodap"/>
        <w:rPr>
          <w:rFonts w:ascii="Arial" w:hAnsi="Arial" w:cs="Arial"/>
        </w:rPr>
      </w:pPr>
    </w:p>
  </w:footnote>
  <w:footnote w:id="2">
    <w:p w:rsidR="002977B9" w:rsidRPr="003B7CA9" w:rsidRDefault="002977B9" w:rsidP="00086659">
      <w:pPr>
        <w:pStyle w:val="Textodenotaderodap"/>
        <w:spacing w:afterLines="50" w:after="120"/>
        <w:jc w:val="both"/>
        <w:rPr>
          <w:rFonts w:ascii="Arial" w:hAnsi="Arial" w:cs="Arial"/>
        </w:rPr>
      </w:pPr>
      <w:r w:rsidRPr="003B7CA9">
        <w:rPr>
          <w:rStyle w:val="Refdenotaderodap"/>
          <w:rFonts w:ascii="Arial" w:hAnsi="Arial" w:cs="Arial"/>
        </w:rPr>
        <w:footnoteRef/>
      </w:r>
      <w:r w:rsidRPr="003B7CA9">
        <w:rPr>
          <w:rFonts w:ascii="Arial" w:hAnsi="Arial" w:cs="Arial"/>
        </w:rPr>
        <w:t xml:space="preserve"> </w:t>
      </w:r>
      <w:r w:rsidR="00086659" w:rsidRPr="003B7CA9">
        <w:rPr>
          <w:rFonts w:ascii="Arial" w:hAnsi="Arial" w:cs="Arial"/>
        </w:rPr>
        <w:t xml:space="preserve">Advogado. Mestre em Direito pela Universidade Católica de Santos – UNISANTOS (2011). Bacharel em Direito pela Universidade Católica de Santos – UNISANTOS (2007). Professor no curso de Direito da Universidade de Ribeirão Preto – UNAERP (2011), campus Guarujá. Professor no curso de Direito da Universidade Paulista – UNIP (2014), campus Santos. Professor da Universidade Monte </w:t>
      </w:r>
      <w:proofErr w:type="spellStart"/>
      <w:r w:rsidR="00086659" w:rsidRPr="003B7CA9">
        <w:rPr>
          <w:rFonts w:ascii="Arial" w:hAnsi="Arial" w:cs="Arial"/>
        </w:rPr>
        <w:t>Serrat</w:t>
      </w:r>
      <w:proofErr w:type="spellEnd"/>
      <w:r w:rsidR="00086659" w:rsidRPr="003B7CA9">
        <w:rPr>
          <w:rFonts w:ascii="Arial" w:hAnsi="Arial" w:cs="Arial"/>
        </w:rPr>
        <w:t xml:space="preserve">, UNIMONTE (2016), campus Santos. Editor/Revisor da Revista Científica Integrada (ISSN 2359-4632). Líder do Grupo de Pesquisa da UNAERP Regimes e Modelos Jurídicos, Econômicos, Ambientais e Internacionais nas Pessoas Jurídicas de Direito Privado. Revisor da Revista </w:t>
      </w:r>
      <w:proofErr w:type="spellStart"/>
      <w:r w:rsidR="00086659" w:rsidRPr="003B7CA9">
        <w:rPr>
          <w:rFonts w:ascii="Arial" w:hAnsi="Arial" w:cs="Arial"/>
        </w:rPr>
        <w:t>Faculdad</w:t>
      </w:r>
      <w:proofErr w:type="spellEnd"/>
      <w:r w:rsidR="00086659" w:rsidRPr="003B7CA9">
        <w:rPr>
          <w:rFonts w:ascii="Arial" w:hAnsi="Arial" w:cs="Arial"/>
        </w:rPr>
        <w:t xml:space="preserve"> de </w:t>
      </w:r>
      <w:proofErr w:type="spellStart"/>
      <w:r w:rsidR="00086659" w:rsidRPr="003B7CA9">
        <w:rPr>
          <w:rFonts w:ascii="Arial" w:hAnsi="Arial" w:cs="Arial"/>
        </w:rPr>
        <w:t>Derecho</w:t>
      </w:r>
      <w:proofErr w:type="spellEnd"/>
      <w:r w:rsidR="00086659" w:rsidRPr="003B7CA9">
        <w:rPr>
          <w:rFonts w:ascii="Arial" w:hAnsi="Arial" w:cs="Arial"/>
        </w:rPr>
        <w:t xml:space="preserve"> de Montevideo ISSN 0797-8316. Revisor da ACDI – Anuário Colombiano de Direito Internacional ISSN 2145-4493. Revisor de </w:t>
      </w:r>
      <w:proofErr w:type="spellStart"/>
      <w:r w:rsidR="00086659" w:rsidRPr="003B7CA9">
        <w:rPr>
          <w:rFonts w:ascii="Arial" w:hAnsi="Arial" w:cs="Arial"/>
        </w:rPr>
        <w:t>Academic</w:t>
      </w:r>
      <w:proofErr w:type="spellEnd"/>
      <w:r w:rsidR="00086659" w:rsidRPr="003B7CA9">
        <w:rPr>
          <w:rFonts w:ascii="Arial" w:hAnsi="Arial" w:cs="Arial"/>
        </w:rPr>
        <w:t xml:space="preserve"> </w:t>
      </w:r>
      <w:proofErr w:type="spellStart"/>
      <w:r w:rsidR="00086659" w:rsidRPr="003B7CA9">
        <w:rPr>
          <w:rFonts w:ascii="Arial" w:hAnsi="Arial" w:cs="Arial"/>
        </w:rPr>
        <w:t>Journals</w:t>
      </w:r>
      <w:proofErr w:type="spellEnd"/>
      <w:r w:rsidR="00086659" w:rsidRPr="003B7CA9">
        <w:rPr>
          <w:rFonts w:ascii="Arial" w:hAnsi="Arial" w:cs="Arial"/>
        </w:rPr>
        <w:t>. Ex-Presidente da Comissão de Direitos da Criança e do Adolescente da OAB Guarujá (2013-2015).</w:t>
      </w:r>
    </w:p>
  </w:footnote>
  <w:footnote w:id="3">
    <w:p w:rsidR="002977B9" w:rsidRPr="003B7CA9" w:rsidRDefault="002977B9" w:rsidP="0066353E">
      <w:pPr>
        <w:pStyle w:val="Textodenotaderodap"/>
        <w:spacing w:afterLines="50" w:after="120"/>
        <w:jc w:val="both"/>
        <w:rPr>
          <w:rFonts w:ascii="Arial" w:hAnsi="Arial" w:cs="Arial"/>
        </w:rPr>
      </w:pPr>
      <w:r w:rsidRPr="003B7CA9">
        <w:rPr>
          <w:rStyle w:val="Refdenotaderodap"/>
          <w:rFonts w:ascii="Arial" w:hAnsi="Arial" w:cs="Arial"/>
        </w:rPr>
        <w:footnoteRef/>
      </w:r>
      <w:r w:rsidRPr="003B7CA9">
        <w:rPr>
          <w:rFonts w:ascii="Arial" w:hAnsi="Arial" w:cs="Arial"/>
        </w:rPr>
        <w:t xml:space="preserve"> Este trabalho é fruto de pesquisa gerada pelo Grupo de Pesquisa “</w:t>
      </w:r>
      <w:r w:rsidRPr="003B7CA9">
        <w:rPr>
          <w:rFonts w:ascii="Arial" w:hAnsi="Arial" w:cs="Arial"/>
          <w:i/>
        </w:rPr>
        <w:t>Regimes e Modelos Jurídicos, Econômicos, Ambientais e Internacionais nas Pessoas Jurídicas de Direito Privado</w:t>
      </w:r>
      <w:r w:rsidRPr="003B7CA9">
        <w:rPr>
          <w:rFonts w:ascii="Arial" w:hAnsi="Arial" w:cs="Arial"/>
        </w:rPr>
        <w:t>” do curso de Direito na UNAERP Campus Guarujá.</w:t>
      </w:r>
    </w:p>
  </w:footnote>
  <w:footnote w:id="4">
    <w:p w:rsidR="0066353E" w:rsidRDefault="0066353E" w:rsidP="0066353E">
      <w:pPr>
        <w:spacing w:after="0" w:line="240" w:lineRule="auto"/>
        <w:ind w:right="-1"/>
        <w:jc w:val="both"/>
        <w:rPr>
          <w:rStyle w:val="CitaoHTML"/>
          <w:rFonts w:ascii="Arial" w:hAnsi="Arial" w:cs="Arial"/>
          <w:color w:val="000000" w:themeColor="text1"/>
          <w:sz w:val="20"/>
          <w:szCs w:val="20"/>
        </w:rPr>
      </w:pPr>
      <w:r w:rsidRPr="003B7CA9">
        <w:rPr>
          <w:rStyle w:val="Refdenotaderodap"/>
          <w:rFonts w:ascii="Arial" w:hAnsi="Arial" w:cs="Arial"/>
          <w:sz w:val="20"/>
          <w:szCs w:val="20"/>
        </w:rPr>
        <w:footnoteRef/>
      </w:r>
      <w:r w:rsidRPr="003B7CA9">
        <w:rPr>
          <w:rFonts w:ascii="Arial" w:hAnsi="Arial" w:cs="Arial"/>
          <w:sz w:val="20"/>
          <w:szCs w:val="20"/>
        </w:rPr>
        <w:t xml:space="preserve"> &lt;</w:t>
      </w:r>
      <w:hyperlink r:id="rId1" w:history="1">
        <w:r w:rsidRPr="003B7CA9">
          <w:rPr>
            <w:rStyle w:val="Hyperlink"/>
            <w:rFonts w:ascii="Arial" w:hAnsi="Arial" w:cs="Arial"/>
            <w:color w:val="000000" w:themeColor="text1"/>
            <w:sz w:val="20"/>
            <w:szCs w:val="20"/>
          </w:rPr>
          <w:t>www.mtps.gov.br/images/Documentos/outrosAssuntos/</w:t>
        </w:r>
        <w:r w:rsidRPr="003B7CA9">
          <w:rPr>
            <w:rStyle w:val="Hyperlink"/>
            <w:rFonts w:ascii="Arial" w:hAnsi="Arial" w:cs="Arial"/>
            <w:bCs/>
            <w:color w:val="000000" w:themeColor="text1"/>
            <w:sz w:val="20"/>
            <w:szCs w:val="20"/>
          </w:rPr>
          <w:t>enunciadoscrps</w:t>
        </w:r>
      </w:hyperlink>
      <w:r w:rsidRPr="003B7CA9">
        <w:rPr>
          <w:rFonts w:ascii="Arial" w:hAnsi="Arial" w:cs="Arial"/>
          <w:color w:val="000000" w:themeColor="text1"/>
          <w:sz w:val="20"/>
          <w:szCs w:val="20"/>
        </w:rPr>
        <w:t xml:space="preserve"> </w:t>
      </w:r>
      <w:r w:rsidRPr="003B7CA9">
        <w:rPr>
          <w:rStyle w:val="Hyperlink"/>
          <w:rFonts w:ascii="Arial" w:hAnsi="Arial" w:cs="Arial"/>
          <w:bCs/>
          <w:color w:val="000000" w:themeColor="text1"/>
          <w:sz w:val="20"/>
          <w:szCs w:val="20"/>
        </w:rPr>
        <w:t>&gt;</w:t>
      </w:r>
      <w:r w:rsidRPr="003B7CA9">
        <w:rPr>
          <w:rStyle w:val="CitaoHTML"/>
          <w:rFonts w:ascii="Arial" w:hAnsi="Arial" w:cs="Arial"/>
          <w:color w:val="000000" w:themeColor="text1"/>
          <w:sz w:val="20"/>
          <w:szCs w:val="20"/>
        </w:rPr>
        <w:t xml:space="preserve"> Acesso em 23/05/16.</w:t>
      </w:r>
    </w:p>
    <w:p w:rsidR="003B7CA9" w:rsidRPr="003B7CA9" w:rsidRDefault="003B7CA9" w:rsidP="0066353E">
      <w:pPr>
        <w:spacing w:after="0" w:line="240" w:lineRule="auto"/>
        <w:ind w:right="-1"/>
        <w:jc w:val="both"/>
        <w:rPr>
          <w:rFonts w:ascii="Arial" w:hAnsi="Arial" w:cs="Arial"/>
          <w:sz w:val="20"/>
          <w:szCs w:val="20"/>
        </w:rPr>
      </w:pPr>
    </w:p>
  </w:footnote>
  <w:footnote w:id="5">
    <w:p w:rsidR="002C4E16" w:rsidRPr="003B7CA9" w:rsidRDefault="002C4E16" w:rsidP="003B7CA9">
      <w:pPr>
        <w:pStyle w:val="Ttulo1"/>
        <w:numPr>
          <w:ilvl w:val="0"/>
          <w:numId w:val="0"/>
        </w:numPr>
        <w:pBdr>
          <w:bottom w:val="single" w:sz="12" w:space="0" w:color="EAEAEA"/>
        </w:pBdr>
        <w:shd w:val="clear" w:color="auto" w:fill="FFFFFF"/>
        <w:spacing w:before="0"/>
        <w:jc w:val="both"/>
        <w:rPr>
          <w:sz w:val="20"/>
          <w:szCs w:val="20"/>
        </w:rPr>
      </w:pPr>
      <w:r w:rsidRPr="003B7CA9">
        <w:rPr>
          <w:rStyle w:val="Refdenotaderodap"/>
          <w:sz w:val="20"/>
          <w:szCs w:val="20"/>
        </w:rPr>
        <w:footnoteRef/>
      </w:r>
      <w:r w:rsidRPr="003B7CA9">
        <w:rPr>
          <w:b w:val="0"/>
          <w:sz w:val="20"/>
          <w:szCs w:val="20"/>
        </w:rPr>
        <w:t xml:space="preserve">CAMARA DOS DEPUTADOS. Medida Provisória &lt; </w:t>
      </w:r>
      <w:hyperlink r:id="rId2" w:history="1">
        <w:r w:rsidRPr="003B7CA9">
          <w:rPr>
            <w:rStyle w:val="Hyperlink"/>
            <w:sz w:val="20"/>
            <w:szCs w:val="20"/>
          </w:rPr>
          <w:t>http://www2.camara.leg.br/comunicacao/ assessoria-de-imprensa/medida-</w:t>
        </w:r>
        <w:proofErr w:type="spellStart"/>
        <w:r w:rsidRPr="003B7CA9">
          <w:rPr>
            <w:rStyle w:val="Hyperlink"/>
            <w:sz w:val="20"/>
            <w:szCs w:val="20"/>
          </w:rPr>
          <w:t>provisoria</w:t>
        </w:r>
        <w:proofErr w:type="spellEnd"/>
      </w:hyperlink>
      <w:r w:rsidRPr="003B7CA9">
        <w:rPr>
          <w:rStyle w:val="Hyperlink"/>
          <w:sz w:val="20"/>
          <w:szCs w:val="20"/>
        </w:rPr>
        <w:t>&gt;</w:t>
      </w:r>
      <w:proofErr w:type="gramStart"/>
      <w:r w:rsidRPr="003B7CA9">
        <w:rPr>
          <w:rStyle w:val="Hyperlink"/>
          <w:sz w:val="20"/>
          <w:szCs w:val="20"/>
        </w:rPr>
        <w:t xml:space="preserve"> </w:t>
      </w:r>
      <w:r w:rsidRPr="003B7CA9">
        <w:rPr>
          <w:b w:val="0"/>
          <w:sz w:val="20"/>
          <w:szCs w:val="20"/>
        </w:rPr>
        <w:t xml:space="preserve"> </w:t>
      </w:r>
      <w:proofErr w:type="gramEnd"/>
      <w:r w:rsidRPr="003B7CA9">
        <w:rPr>
          <w:b w:val="0"/>
          <w:sz w:val="20"/>
          <w:szCs w:val="20"/>
        </w:rPr>
        <w:t>acesso em 30.05.16</w:t>
      </w:r>
    </w:p>
  </w:footnote>
  <w:footnote w:id="6">
    <w:p w:rsidR="003B7CA9" w:rsidRPr="003B7CA9" w:rsidRDefault="003B7CA9" w:rsidP="003B7CA9">
      <w:pPr>
        <w:pStyle w:val="Ttulo1"/>
        <w:numPr>
          <w:ilvl w:val="0"/>
          <w:numId w:val="0"/>
        </w:numPr>
        <w:shd w:val="clear" w:color="auto" w:fill="FFFFFF"/>
        <w:spacing w:before="0"/>
        <w:ind w:left="357" w:hanging="357"/>
        <w:jc w:val="both"/>
        <w:rPr>
          <w:b w:val="0"/>
          <w:sz w:val="20"/>
          <w:szCs w:val="20"/>
        </w:rPr>
      </w:pPr>
      <w:r w:rsidRPr="003B7CA9">
        <w:rPr>
          <w:rStyle w:val="Refdenotaderodap"/>
          <w:sz w:val="20"/>
          <w:szCs w:val="20"/>
        </w:rPr>
        <w:footnoteRef/>
      </w:r>
      <w:r w:rsidRPr="003B7CA9">
        <w:rPr>
          <w:b w:val="0"/>
          <w:sz w:val="20"/>
          <w:szCs w:val="20"/>
        </w:rPr>
        <w:t xml:space="preserve">Neste sentido: </w:t>
      </w:r>
      <w:proofErr w:type="gramStart"/>
      <w:r w:rsidRPr="003B7CA9">
        <w:rPr>
          <w:b w:val="0"/>
          <w:sz w:val="20"/>
          <w:szCs w:val="20"/>
        </w:rPr>
        <w:t>MARQUE,</w:t>
      </w:r>
      <w:proofErr w:type="gramEnd"/>
      <w:r w:rsidRPr="003B7CA9">
        <w:rPr>
          <w:b w:val="0"/>
          <w:sz w:val="20"/>
          <w:szCs w:val="20"/>
        </w:rPr>
        <w:t xml:space="preserve"> Gabriel. O que é uma medida provisória? &lt;</w:t>
      </w:r>
      <w:hyperlink r:id="rId3" w:history="1">
        <w:r w:rsidRPr="003B7CA9">
          <w:rPr>
            <w:rStyle w:val="Hyperlink"/>
            <w:sz w:val="20"/>
            <w:szCs w:val="20"/>
          </w:rPr>
          <w:t>http://gabrielmarques.jusbrasil.com.br/ artigos/226053832/o-que-e-uma-medida-</w:t>
        </w:r>
        <w:proofErr w:type="spellStart"/>
        <w:r w:rsidRPr="003B7CA9">
          <w:rPr>
            <w:rStyle w:val="Hyperlink"/>
            <w:sz w:val="20"/>
            <w:szCs w:val="20"/>
          </w:rPr>
          <w:t>provisoria</w:t>
        </w:r>
        <w:proofErr w:type="spellEnd"/>
      </w:hyperlink>
      <w:r w:rsidRPr="003B7CA9">
        <w:rPr>
          <w:rStyle w:val="Hyperlink"/>
          <w:sz w:val="20"/>
          <w:szCs w:val="20"/>
        </w:rPr>
        <w:t>&gt;</w:t>
      </w:r>
      <w:r w:rsidRPr="003B7CA9">
        <w:rPr>
          <w:b w:val="0"/>
          <w:sz w:val="20"/>
          <w:szCs w:val="20"/>
        </w:rPr>
        <w:t>, acesso em 30.05.2016.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8787763"/>
      <w:docPartObj>
        <w:docPartGallery w:val="Page Numbers (Top of Page)"/>
        <w:docPartUnique/>
      </w:docPartObj>
    </w:sdtPr>
    <w:sdtContent>
      <w:p w:rsidR="0066353E" w:rsidRDefault="0066353E">
        <w:pPr>
          <w:pStyle w:val="Cabealho"/>
          <w:jc w:val="right"/>
        </w:pPr>
        <w:r>
          <w:fldChar w:fldCharType="begin"/>
        </w:r>
        <w:r>
          <w:instrText>PAGE   \* MERGEFORMAT</w:instrText>
        </w:r>
        <w:r>
          <w:fldChar w:fldCharType="separate"/>
        </w:r>
        <w:r w:rsidR="00814699">
          <w:rPr>
            <w:noProof/>
          </w:rPr>
          <w:t>1</w:t>
        </w:r>
        <w:r>
          <w:fldChar w:fldCharType="end"/>
        </w:r>
      </w:p>
    </w:sdtContent>
  </w:sdt>
  <w:p w:rsidR="0066353E" w:rsidRDefault="0066353E">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642C25"/>
    <w:multiLevelType w:val="multilevel"/>
    <w:tmpl w:val="E16813AA"/>
    <w:lvl w:ilvl="0">
      <w:start w:val="1"/>
      <w:numFmt w:val="decimal"/>
      <w:pStyle w:val="Ttulo1"/>
      <w:lvlText w:val="%1."/>
      <w:lvlJc w:val="left"/>
      <w:pPr>
        <w:ind w:left="360" w:hanging="360"/>
      </w:pPr>
    </w:lvl>
    <w:lvl w:ilvl="1">
      <w:start w:val="1"/>
      <w:numFmt w:val="decimal"/>
      <w:pStyle w:val="Ttu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2A32964"/>
    <w:multiLevelType w:val="hybridMultilevel"/>
    <w:tmpl w:val="0BF63220"/>
    <w:lvl w:ilvl="0" w:tplc="576C6408">
      <w:start w:val="1"/>
      <w:numFmt w:val="decimal"/>
      <w:lvlText w:val="%1."/>
      <w:lvlJc w:val="left"/>
      <w:pPr>
        <w:ind w:left="720" w:hanging="360"/>
      </w:pPr>
      <w:rPr>
        <w:rFonts w:hint="default"/>
      </w:rPr>
    </w:lvl>
    <w:lvl w:ilvl="1" w:tplc="0416000F">
      <w:start w:val="1"/>
      <w:numFmt w:val="decimal"/>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4FFD51CA"/>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50E40910"/>
    <w:multiLevelType w:val="multilevel"/>
    <w:tmpl w:val="CCDA4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69D4265"/>
    <w:multiLevelType w:val="hybridMultilevel"/>
    <w:tmpl w:val="AB905BC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attachedTemplate r:id="rId1"/>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53E"/>
    <w:rsid w:val="000049FC"/>
    <w:rsid w:val="00010D6C"/>
    <w:rsid w:val="00031CB3"/>
    <w:rsid w:val="000427E9"/>
    <w:rsid w:val="00044906"/>
    <w:rsid w:val="00045E7F"/>
    <w:rsid w:val="0006371B"/>
    <w:rsid w:val="00077A5B"/>
    <w:rsid w:val="00086659"/>
    <w:rsid w:val="000A2103"/>
    <w:rsid w:val="000A2B2D"/>
    <w:rsid w:val="000F2797"/>
    <w:rsid w:val="000F64A5"/>
    <w:rsid w:val="0010149F"/>
    <w:rsid w:val="001020E3"/>
    <w:rsid w:val="001021B3"/>
    <w:rsid w:val="00110E3D"/>
    <w:rsid w:val="001170B1"/>
    <w:rsid w:val="00125DDF"/>
    <w:rsid w:val="00132044"/>
    <w:rsid w:val="00140038"/>
    <w:rsid w:val="001417FD"/>
    <w:rsid w:val="00141EB7"/>
    <w:rsid w:val="00157892"/>
    <w:rsid w:val="00160478"/>
    <w:rsid w:val="001B191B"/>
    <w:rsid w:val="001C623A"/>
    <w:rsid w:val="001E293C"/>
    <w:rsid w:val="002406AA"/>
    <w:rsid w:val="002449FC"/>
    <w:rsid w:val="00263F44"/>
    <w:rsid w:val="00266829"/>
    <w:rsid w:val="00287330"/>
    <w:rsid w:val="0029356B"/>
    <w:rsid w:val="002977B9"/>
    <w:rsid w:val="002A5536"/>
    <w:rsid w:val="002C4E16"/>
    <w:rsid w:val="00342F31"/>
    <w:rsid w:val="00396AB2"/>
    <w:rsid w:val="003976E3"/>
    <w:rsid w:val="003A7526"/>
    <w:rsid w:val="003B72BD"/>
    <w:rsid w:val="003B7CA9"/>
    <w:rsid w:val="003C1407"/>
    <w:rsid w:val="003C6324"/>
    <w:rsid w:val="003D5A8B"/>
    <w:rsid w:val="003E41A3"/>
    <w:rsid w:val="003E6202"/>
    <w:rsid w:val="003F5A2D"/>
    <w:rsid w:val="00414DA7"/>
    <w:rsid w:val="004217DF"/>
    <w:rsid w:val="00433107"/>
    <w:rsid w:val="00445611"/>
    <w:rsid w:val="00470CF1"/>
    <w:rsid w:val="004A2851"/>
    <w:rsid w:val="004A3FD1"/>
    <w:rsid w:val="004E057E"/>
    <w:rsid w:val="004E5A4B"/>
    <w:rsid w:val="00501EBB"/>
    <w:rsid w:val="00504336"/>
    <w:rsid w:val="00506330"/>
    <w:rsid w:val="0051541F"/>
    <w:rsid w:val="005275E7"/>
    <w:rsid w:val="00531940"/>
    <w:rsid w:val="0054185C"/>
    <w:rsid w:val="0054666C"/>
    <w:rsid w:val="00576BF1"/>
    <w:rsid w:val="005A56D2"/>
    <w:rsid w:val="005A5F85"/>
    <w:rsid w:val="005C0C2F"/>
    <w:rsid w:val="005C0F35"/>
    <w:rsid w:val="005D12D6"/>
    <w:rsid w:val="005E68C9"/>
    <w:rsid w:val="005F4482"/>
    <w:rsid w:val="00613013"/>
    <w:rsid w:val="0062104F"/>
    <w:rsid w:val="00622C0E"/>
    <w:rsid w:val="00624D5A"/>
    <w:rsid w:val="006445A1"/>
    <w:rsid w:val="006470CA"/>
    <w:rsid w:val="00660226"/>
    <w:rsid w:val="006630BA"/>
    <w:rsid w:val="0066353E"/>
    <w:rsid w:val="00663A33"/>
    <w:rsid w:val="00672024"/>
    <w:rsid w:val="0068000E"/>
    <w:rsid w:val="00683A5C"/>
    <w:rsid w:val="006B48F6"/>
    <w:rsid w:val="006B7A56"/>
    <w:rsid w:val="006E2E3A"/>
    <w:rsid w:val="006E68B7"/>
    <w:rsid w:val="00785E13"/>
    <w:rsid w:val="007C14FD"/>
    <w:rsid w:val="007C6AE0"/>
    <w:rsid w:val="007D285B"/>
    <w:rsid w:val="007D7A41"/>
    <w:rsid w:val="007E4E6C"/>
    <w:rsid w:val="007F7A25"/>
    <w:rsid w:val="00814699"/>
    <w:rsid w:val="00825AF3"/>
    <w:rsid w:val="00832578"/>
    <w:rsid w:val="008443E8"/>
    <w:rsid w:val="00855A15"/>
    <w:rsid w:val="00876CDF"/>
    <w:rsid w:val="008943BD"/>
    <w:rsid w:val="008A484B"/>
    <w:rsid w:val="008B0AAA"/>
    <w:rsid w:val="00930961"/>
    <w:rsid w:val="00962008"/>
    <w:rsid w:val="009633B0"/>
    <w:rsid w:val="0096539D"/>
    <w:rsid w:val="0098461C"/>
    <w:rsid w:val="00994F11"/>
    <w:rsid w:val="009C55E1"/>
    <w:rsid w:val="009D087B"/>
    <w:rsid w:val="009E0E5B"/>
    <w:rsid w:val="009F7E6C"/>
    <w:rsid w:val="00A0421F"/>
    <w:rsid w:val="00A22D5E"/>
    <w:rsid w:val="00A22F5B"/>
    <w:rsid w:val="00A42D58"/>
    <w:rsid w:val="00AA4472"/>
    <w:rsid w:val="00AD26DA"/>
    <w:rsid w:val="00B10A47"/>
    <w:rsid w:val="00B236B9"/>
    <w:rsid w:val="00B93CEE"/>
    <w:rsid w:val="00B96AF1"/>
    <w:rsid w:val="00BA296A"/>
    <w:rsid w:val="00BB53E6"/>
    <w:rsid w:val="00BB732A"/>
    <w:rsid w:val="00BF1C95"/>
    <w:rsid w:val="00C552B6"/>
    <w:rsid w:val="00C61AF1"/>
    <w:rsid w:val="00C84422"/>
    <w:rsid w:val="00CC2FC0"/>
    <w:rsid w:val="00CD1E95"/>
    <w:rsid w:val="00CD369D"/>
    <w:rsid w:val="00CD66CB"/>
    <w:rsid w:val="00CF0D38"/>
    <w:rsid w:val="00D14440"/>
    <w:rsid w:val="00D268F9"/>
    <w:rsid w:val="00D6110B"/>
    <w:rsid w:val="00D7251E"/>
    <w:rsid w:val="00D805C1"/>
    <w:rsid w:val="00DA344F"/>
    <w:rsid w:val="00DC7507"/>
    <w:rsid w:val="00DE7E76"/>
    <w:rsid w:val="00E11EAC"/>
    <w:rsid w:val="00E12EC0"/>
    <w:rsid w:val="00E75C44"/>
    <w:rsid w:val="00ED5175"/>
    <w:rsid w:val="00EE47CC"/>
    <w:rsid w:val="00F07461"/>
    <w:rsid w:val="00F1760F"/>
    <w:rsid w:val="00F2745E"/>
    <w:rsid w:val="00F369D6"/>
    <w:rsid w:val="00F449AF"/>
    <w:rsid w:val="00F654D3"/>
    <w:rsid w:val="00F93617"/>
    <w:rsid w:val="00FE1297"/>
    <w:rsid w:val="00FF7497"/>
    <w:rsid w:val="7B7E1B4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ind w:left="357" w:hanging="357"/>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basedOn w:val="Normal"/>
    <w:next w:val="Normal"/>
    <w:link w:val="CitaoChar"/>
    <w:uiPriority w:val="29"/>
    <w:qFormat/>
    <w:rsid w:val="00876CDF"/>
    <w:pPr>
      <w:spacing w:beforeLines="120" w:after="0" w:line="360" w:lineRule="auto"/>
      <w:ind w:left="851" w:right="849"/>
      <w:jc w:val="both"/>
    </w:pPr>
    <w:rPr>
      <w:rFonts w:ascii="Arial" w:hAnsi="Arial" w:cs="Arial"/>
      <w:i/>
      <w:sz w:val="20"/>
    </w:rPr>
  </w:style>
  <w:style w:type="character" w:customStyle="1" w:styleId="CitaoChar">
    <w:name w:val="Citação Char"/>
    <w:basedOn w:val="Fontepargpadro"/>
    <w:link w:val="Citao"/>
    <w:uiPriority w:val="29"/>
    <w:rsid w:val="00876CDF"/>
    <w:rPr>
      <w:rFonts w:ascii="Arial" w:hAnsi="Arial" w:cs="Arial"/>
      <w:i/>
      <w:sz w:val="20"/>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 w:type="paragraph" w:styleId="Cabealho">
    <w:name w:val="header"/>
    <w:basedOn w:val="Normal"/>
    <w:link w:val="CabealhoChar"/>
    <w:uiPriority w:val="99"/>
    <w:unhideWhenUsed/>
    <w:rsid w:val="0066353E"/>
    <w:pPr>
      <w:tabs>
        <w:tab w:val="center" w:pos="4252"/>
        <w:tab w:val="right" w:pos="8504"/>
      </w:tabs>
      <w:spacing w:after="0" w:line="240" w:lineRule="auto"/>
    </w:pPr>
    <w:rPr>
      <w:rFonts w:ascii="Arial" w:eastAsiaTheme="minorHAnsi" w:hAnsi="Arial" w:cs="Arial"/>
      <w:sz w:val="24"/>
      <w:szCs w:val="24"/>
      <w:lang w:eastAsia="en-US"/>
    </w:rPr>
  </w:style>
  <w:style w:type="character" w:customStyle="1" w:styleId="CabealhoChar">
    <w:name w:val="Cabeçalho Char"/>
    <w:basedOn w:val="Fontepargpadro"/>
    <w:link w:val="Cabealho"/>
    <w:uiPriority w:val="99"/>
    <w:rsid w:val="0066353E"/>
    <w:rPr>
      <w:rFonts w:ascii="Arial" w:eastAsiaTheme="minorHAnsi" w:hAnsi="Arial" w:cs="Arial"/>
      <w:sz w:val="24"/>
      <w:szCs w:val="24"/>
      <w:lang w:eastAsia="en-US"/>
    </w:rPr>
  </w:style>
  <w:style w:type="paragraph" w:styleId="NormalWeb">
    <w:name w:val="Normal (Web)"/>
    <w:basedOn w:val="Normal"/>
    <w:uiPriority w:val="99"/>
    <w:unhideWhenUsed/>
    <w:rsid w:val="0066353E"/>
    <w:pPr>
      <w:spacing w:before="100" w:beforeAutospacing="1" w:after="100" w:afterAutospacing="1" w:line="240" w:lineRule="auto"/>
    </w:pPr>
    <w:rPr>
      <w:rFonts w:ascii="Times New Roman" w:eastAsia="Times New Roman" w:hAnsi="Times New Roman" w:cs="Times New Roman"/>
      <w:sz w:val="24"/>
      <w:szCs w:val="24"/>
    </w:rPr>
  </w:style>
  <w:style w:type="character" w:styleId="CitaoHTML">
    <w:name w:val="HTML Cite"/>
    <w:basedOn w:val="Fontepargpadro"/>
    <w:uiPriority w:val="99"/>
    <w:semiHidden/>
    <w:unhideWhenUsed/>
    <w:rsid w:val="0066353E"/>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ind w:left="357" w:hanging="357"/>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basedOn w:val="Normal"/>
    <w:next w:val="Normal"/>
    <w:link w:val="CitaoChar"/>
    <w:uiPriority w:val="29"/>
    <w:qFormat/>
    <w:rsid w:val="00876CDF"/>
    <w:pPr>
      <w:spacing w:beforeLines="120" w:after="0" w:line="360" w:lineRule="auto"/>
      <w:ind w:left="851" w:right="849"/>
      <w:jc w:val="both"/>
    </w:pPr>
    <w:rPr>
      <w:rFonts w:ascii="Arial" w:hAnsi="Arial" w:cs="Arial"/>
      <w:i/>
      <w:sz w:val="20"/>
    </w:rPr>
  </w:style>
  <w:style w:type="character" w:customStyle="1" w:styleId="CitaoChar">
    <w:name w:val="Citação Char"/>
    <w:basedOn w:val="Fontepargpadro"/>
    <w:link w:val="Citao"/>
    <w:uiPriority w:val="29"/>
    <w:rsid w:val="00876CDF"/>
    <w:rPr>
      <w:rFonts w:ascii="Arial" w:hAnsi="Arial" w:cs="Arial"/>
      <w:i/>
      <w:sz w:val="20"/>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 w:type="paragraph" w:styleId="Cabealho">
    <w:name w:val="header"/>
    <w:basedOn w:val="Normal"/>
    <w:link w:val="CabealhoChar"/>
    <w:uiPriority w:val="99"/>
    <w:unhideWhenUsed/>
    <w:rsid w:val="0066353E"/>
    <w:pPr>
      <w:tabs>
        <w:tab w:val="center" w:pos="4252"/>
        <w:tab w:val="right" w:pos="8504"/>
      </w:tabs>
      <w:spacing w:after="0" w:line="240" w:lineRule="auto"/>
    </w:pPr>
    <w:rPr>
      <w:rFonts w:ascii="Arial" w:eastAsiaTheme="minorHAnsi" w:hAnsi="Arial" w:cs="Arial"/>
      <w:sz w:val="24"/>
      <w:szCs w:val="24"/>
      <w:lang w:eastAsia="en-US"/>
    </w:rPr>
  </w:style>
  <w:style w:type="character" w:customStyle="1" w:styleId="CabealhoChar">
    <w:name w:val="Cabeçalho Char"/>
    <w:basedOn w:val="Fontepargpadro"/>
    <w:link w:val="Cabealho"/>
    <w:uiPriority w:val="99"/>
    <w:rsid w:val="0066353E"/>
    <w:rPr>
      <w:rFonts w:ascii="Arial" w:eastAsiaTheme="minorHAnsi" w:hAnsi="Arial" w:cs="Arial"/>
      <w:sz w:val="24"/>
      <w:szCs w:val="24"/>
      <w:lang w:eastAsia="en-US"/>
    </w:rPr>
  </w:style>
  <w:style w:type="paragraph" w:styleId="NormalWeb">
    <w:name w:val="Normal (Web)"/>
    <w:basedOn w:val="Normal"/>
    <w:uiPriority w:val="99"/>
    <w:unhideWhenUsed/>
    <w:rsid w:val="0066353E"/>
    <w:pPr>
      <w:spacing w:before="100" w:beforeAutospacing="1" w:after="100" w:afterAutospacing="1" w:line="240" w:lineRule="auto"/>
    </w:pPr>
    <w:rPr>
      <w:rFonts w:ascii="Times New Roman" w:eastAsia="Times New Roman" w:hAnsi="Times New Roman" w:cs="Times New Roman"/>
      <w:sz w:val="24"/>
      <w:szCs w:val="24"/>
    </w:rPr>
  </w:style>
  <w:style w:type="character" w:styleId="CitaoHTML">
    <w:name w:val="HTML Cite"/>
    <w:basedOn w:val="Fontepargpadro"/>
    <w:uiPriority w:val="99"/>
    <w:semiHidden/>
    <w:unhideWhenUsed/>
    <w:rsid w:val="0066353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825612">
      <w:bodyDiv w:val="1"/>
      <w:marLeft w:val="0"/>
      <w:marRight w:val="0"/>
      <w:marTop w:val="0"/>
      <w:marBottom w:val="0"/>
      <w:divBdr>
        <w:top w:val="none" w:sz="0" w:space="0" w:color="auto"/>
        <w:left w:val="none" w:sz="0" w:space="0" w:color="auto"/>
        <w:bottom w:val="none" w:sz="0" w:space="0" w:color="auto"/>
        <w:right w:val="none" w:sz="0" w:space="0" w:color="auto"/>
      </w:divBdr>
    </w:div>
    <w:div w:id="172113204">
      <w:bodyDiv w:val="1"/>
      <w:marLeft w:val="0"/>
      <w:marRight w:val="0"/>
      <w:marTop w:val="0"/>
      <w:marBottom w:val="0"/>
      <w:divBdr>
        <w:top w:val="none" w:sz="0" w:space="0" w:color="auto"/>
        <w:left w:val="none" w:sz="0" w:space="0" w:color="auto"/>
        <w:bottom w:val="none" w:sz="0" w:space="0" w:color="auto"/>
        <w:right w:val="none" w:sz="0" w:space="0" w:color="auto"/>
      </w:divBdr>
    </w:div>
    <w:div w:id="279998764">
      <w:bodyDiv w:val="1"/>
      <w:marLeft w:val="0"/>
      <w:marRight w:val="0"/>
      <w:marTop w:val="0"/>
      <w:marBottom w:val="0"/>
      <w:divBdr>
        <w:top w:val="none" w:sz="0" w:space="0" w:color="auto"/>
        <w:left w:val="none" w:sz="0" w:space="0" w:color="auto"/>
        <w:bottom w:val="none" w:sz="0" w:space="0" w:color="auto"/>
        <w:right w:val="none" w:sz="0" w:space="0" w:color="auto"/>
      </w:divBdr>
    </w:div>
    <w:div w:id="349719837">
      <w:bodyDiv w:val="1"/>
      <w:marLeft w:val="0"/>
      <w:marRight w:val="0"/>
      <w:marTop w:val="0"/>
      <w:marBottom w:val="0"/>
      <w:divBdr>
        <w:top w:val="none" w:sz="0" w:space="0" w:color="auto"/>
        <w:left w:val="none" w:sz="0" w:space="0" w:color="auto"/>
        <w:bottom w:val="none" w:sz="0" w:space="0" w:color="auto"/>
        <w:right w:val="none" w:sz="0" w:space="0" w:color="auto"/>
      </w:divBdr>
    </w:div>
    <w:div w:id="560797601">
      <w:bodyDiv w:val="1"/>
      <w:marLeft w:val="0"/>
      <w:marRight w:val="0"/>
      <w:marTop w:val="0"/>
      <w:marBottom w:val="0"/>
      <w:divBdr>
        <w:top w:val="none" w:sz="0" w:space="0" w:color="auto"/>
        <w:left w:val="none" w:sz="0" w:space="0" w:color="auto"/>
        <w:bottom w:val="none" w:sz="0" w:space="0" w:color="auto"/>
        <w:right w:val="none" w:sz="0" w:space="0" w:color="auto"/>
      </w:divBdr>
    </w:div>
    <w:div w:id="755438724">
      <w:bodyDiv w:val="1"/>
      <w:marLeft w:val="0"/>
      <w:marRight w:val="0"/>
      <w:marTop w:val="0"/>
      <w:marBottom w:val="0"/>
      <w:divBdr>
        <w:top w:val="none" w:sz="0" w:space="0" w:color="auto"/>
        <w:left w:val="none" w:sz="0" w:space="0" w:color="auto"/>
        <w:bottom w:val="none" w:sz="0" w:space="0" w:color="auto"/>
        <w:right w:val="none" w:sz="0" w:space="0" w:color="auto"/>
      </w:divBdr>
    </w:div>
    <w:div w:id="839587230">
      <w:bodyDiv w:val="1"/>
      <w:marLeft w:val="0"/>
      <w:marRight w:val="0"/>
      <w:marTop w:val="0"/>
      <w:marBottom w:val="0"/>
      <w:divBdr>
        <w:top w:val="none" w:sz="0" w:space="0" w:color="auto"/>
        <w:left w:val="none" w:sz="0" w:space="0" w:color="auto"/>
        <w:bottom w:val="none" w:sz="0" w:space="0" w:color="auto"/>
        <w:right w:val="none" w:sz="0" w:space="0" w:color="auto"/>
      </w:divBdr>
    </w:div>
    <w:div w:id="919556938">
      <w:bodyDiv w:val="1"/>
      <w:marLeft w:val="0"/>
      <w:marRight w:val="0"/>
      <w:marTop w:val="0"/>
      <w:marBottom w:val="0"/>
      <w:divBdr>
        <w:top w:val="none" w:sz="0" w:space="0" w:color="auto"/>
        <w:left w:val="none" w:sz="0" w:space="0" w:color="auto"/>
        <w:bottom w:val="none" w:sz="0" w:space="0" w:color="auto"/>
        <w:right w:val="none" w:sz="0" w:space="0" w:color="auto"/>
      </w:divBdr>
    </w:div>
    <w:div w:id="1090932836">
      <w:bodyDiv w:val="1"/>
      <w:marLeft w:val="0"/>
      <w:marRight w:val="0"/>
      <w:marTop w:val="0"/>
      <w:marBottom w:val="0"/>
      <w:divBdr>
        <w:top w:val="none" w:sz="0" w:space="0" w:color="auto"/>
        <w:left w:val="none" w:sz="0" w:space="0" w:color="auto"/>
        <w:bottom w:val="none" w:sz="0" w:space="0" w:color="auto"/>
        <w:right w:val="none" w:sz="0" w:space="0" w:color="auto"/>
      </w:divBdr>
      <w:divsChild>
        <w:div w:id="482283412">
          <w:marLeft w:val="0"/>
          <w:marRight w:val="0"/>
          <w:marTop w:val="0"/>
          <w:marBottom w:val="0"/>
          <w:divBdr>
            <w:top w:val="single" w:sz="6" w:space="14" w:color="E6E6E6"/>
            <w:left w:val="none" w:sz="0" w:space="0" w:color="auto"/>
            <w:bottom w:val="none" w:sz="0" w:space="0" w:color="auto"/>
            <w:right w:val="none" w:sz="0" w:space="0" w:color="auto"/>
          </w:divBdr>
        </w:div>
      </w:divsChild>
    </w:div>
    <w:div w:id="1120296343">
      <w:bodyDiv w:val="1"/>
      <w:marLeft w:val="0"/>
      <w:marRight w:val="0"/>
      <w:marTop w:val="0"/>
      <w:marBottom w:val="0"/>
      <w:divBdr>
        <w:top w:val="none" w:sz="0" w:space="0" w:color="auto"/>
        <w:left w:val="none" w:sz="0" w:space="0" w:color="auto"/>
        <w:bottom w:val="none" w:sz="0" w:space="0" w:color="auto"/>
        <w:right w:val="none" w:sz="0" w:space="0" w:color="auto"/>
      </w:divBdr>
    </w:div>
    <w:div w:id="1364743603">
      <w:bodyDiv w:val="1"/>
      <w:marLeft w:val="0"/>
      <w:marRight w:val="0"/>
      <w:marTop w:val="0"/>
      <w:marBottom w:val="0"/>
      <w:divBdr>
        <w:top w:val="none" w:sz="0" w:space="0" w:color="auto"/>
        <w:left w:val="none" w:sz="0" w:space="0" w:color="auto"/>
        <w:bottom w:val="none" w:sz="0" w:space="0" w:color="auto"/>
        <w:right w:val="none" w:sz="0" w:space="0" w:color="auto"/>
      </w:divBdr>
    </w:div>
    <w:div w:id="1552570872">
      <w:bodyDiv w:val="1"/>
      <w:marLeft w:val="0"/>
      <w:marRight w:val="0"/>
      <w:marTop w:val="0"/>
      <w:marBottom w:val="0"/>
      <w:divBdr>
        <w:top w:val="none" w:sz="0" w:space="0" w:color="auto"/>
        <w:left w:val="none" w:sz="0" w:space="0" w:color="auto"/>
        <w:bottom w:val="none" w:sz="0" w:space="0" w:color="auto"/>
        <w:right w:val="none" w:sz="0" w:space="0" w:color="auto"/>
      </w:divBdr>
    </w:div>
    <w:div w:id="1703552658">
      <w:bodyDiv w:val="1"/>
      <w:marLeft w:val="0"/>
      <w:marRight w:val="0"/>
      <w:marTop w:val="0"/>
      <w:marBottom w:val="0"/>
      <w:divBdr>
        <w:top w:val="none" w:sz="0" w:space="0" w:color="auto"/>
        <w:left w:val="none" w:sz="0" w:space="0" w:color="auto"/>
        <w:bottom w:val="none" w:sz="0" w:space="0" w:color="auto"/>
        <w:right w:val="none" w:sz="0" w:space="0" w:color="auto"/>
      </w:divBdr>
    </w:div>
    <w:div w:id="1826579269">
      <w:bodyDiv w:val="1"/>
      <w:marLeft w:val="0"/>
      <w:marRight w:val="0"/>
      <w:marTop w:val="0"/>
      <w:marBottom w:val="0"/>
      <w:divBdr>
        <w:top w:val="none" w:sz="0" w:space="0" w:color="auto"/>
        <w:left w:val="none" w:sz="0" w:space="0" w:color="auto"/>
        <w:bottom w:val="none" w:sz="0" w:space="0" w:color="auto"/>
        <w:right w:val="none" w:sz="0" w:space="0" w:color="auto"/>
      </w:divBdr>
    </w:div>
    <w:div w:id="1870293246">
      <w:bodyDiv w:val="1"/>
      <w:marLeft w:val="0"/>
      <w:marRight w:val="0"/>
      <w:marTop w:val="0"/>
      <w:marBottom w:val="0"/>
      <w:divBdr>
        <w:top w:val="none" w:sz="0" w:space="0" w:color="auto"/>
        <w:left w:val="none" w:sz="0" w:space="0" w:color="auto"/>
        <w:bottom w:val="none" w:sz="0" w:space="0" w:color="auto"/>
        <w:right w:val="none" w:sz="0" w:space="0" w:color="auto"/>
      </w:divBdr>
      <w:divsChild>
        <w:div w:id="1410083515">
          <w:marLeft w:val="0"/>
          <w:marRight w:val="0"/>
          <w:marTop w:val="0"/>
          <w:marBottom w:val="0"/>
          <w:divBdr>
            <w:top w:val="none" w:sz="0" w:space="0" w:color="auto"/>
            <w:left w:val="none" w:sz="0" w:space="0" w:color="auto"/>
            <w:bottom w:val="none" w:sz="0" w:space="0" w:color="auto"/>
            <w:right w:val="none" w:sz="0" w:space="0" w:color="auto"/>
          </w:divBdr>
          <w:divsChild>
            <w:div w:id="640817232">
              <w:marLeft w:val="0"/>
              <w:marRight w:val="0"/>
              <w:marTop w:val="0"/>
              <w:marBottom w:val="0"/>
              <w:divBdr>
                <w:top w:val="none" w:sz="0" w:space="0" w:color="auto"/>
                <w:left w:val="none" w:sz="0" w:space="0" w:color="auto"/>
                <w:bottom w:val="none" w:sz="0" w:space="0" w:color="auto"/>
                <w:right w:val="none" w:sz="0" w:space="0" w:color="auto"/>
              </w:divBdr>
            </w:div>
          </w:divsChild>
        </w:div>
        <w:div w:id="332413035">
          <w:marLeft w:val="0"/>
          <w:marRight w:val="0"/>
          <w:marTop w:val="914"/>
          <w:marBottom w:val="0"/>
          <w:divBdr>
            <w:top w:val="none" w:sz="0" w:space="0" w:color="auto"/>
            <w:left w:val="none" w:sz="0" w:space="0" w:color="auto"/>
            <w:bottom w:val="none" w:sz="0" w:space="0" w:color="auto"/>
            <w:right w:val="none" w:sz="0" w:space="0" w:color="auto"/>
          </w:divBdr>
          <w:divsChild>
            <w:div w:id="473106049">
              <w:marLeft w:val="0"/>
              <w:marRight w:val="0"/>
              <w:marTop w:val="0"/>
              <w:marBottom w:val="0"/>
              <w:divBdr>
                <w:top w:val="none" w:sz="0" w:space="0" w:color="auto"/>
                <w:left w:val="none" w:sz="0" w:space="0" w:color="auto"/>
                <w:bottom w:val="none" w:sz="0" w:space="0" w:color="auto"/>
                <w:right w:val="none" w:sz="0" w:space="0" w:color="auto"/>
              </w:divBdr>
              <w:divsChild>
                <w:div w:id="137862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333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gabrielmarques.jusbrasil.com.br/%20artigos/226053832/o-que-e-uma-medida-provisoria" TargetMode="External"/><Relationship Id="rId2" Type="http://schemas.openxmlformats.org/officeDocument/2006/relationships/hyperlink" Target="http://www2.camara.leg.br/comunicacao/%20assessoria-de-imprensa/medida-provisoria" TargetMode="External"/><Relationship Id="rId1" Type="http://schemas.openxmlformats.org/officeDocument/2006/relationships/hyperlink" Target="http://www.mtps.gov.br/images/Documentos/outrosAssuntos/enunciadoscrp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C%20ADV%201\Downloads\Nova%20pasta%20(2)\modelo_sici.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FC6F4CF-567C-4792-A8DA-0AA31A89B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modelo_sici.dotx</Template>
  <TotalTime>35</TotalTime>
  <Pages>10</Pages>
  <Words>4416</Words>
  <Characters>23851</Characters>
  <Application>Microsoft Office Word</Application>
  <DocSecurity>0</DocSecurity>
  <Lines>198</Lines>
  <Paragraphs>56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28211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ADV 1</dc:creator>
  <cp:lastModifiedBy>PC ADV 1</cp:lastModifiedBy>
  <cp:revision>3</cp:revision>
  <dcterms:created xsi:type="dcterms:W3CDTF">2016-10-03T16:05:00Z</dcterms:created>
  <dcterms:modified xsi:type="dcterms:W3CDTF">2016-10-03T16:44:00Z</dcterms:modified>
</cp:coreProperties>
</file>