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420C" w:rsidRDefault="00AB420C" w:rsidP="005F013A">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DA UNAERP CAMPUS GUARUJÁ</w:t>
      </w:r>
    </w:p>
    <w:p w:rsidR="00A459BE" w:rsidRDefault="00A459BE" w:rsidP="005F013A">
      <w:pPr>
        <w:jc w:val="center"/>
        <w:rPr>
          <w:rStyle w:val="Forte"/>
          <w:sz w:val="28"/>
          <w:szCs w:val="28"/>
        </w:rPr>
      </w:pPr>
    </w:p>
    <w:p w:rsidR="00710401" w:rsidRPr="005F013A" w:rsidRDefault="00631B5F" w:rsidP="005F013A">
      <w:pPr>
        <w:tabs>
          <w:tab w:val="left" w:pos="567"/>
        </w:tabs>
        <w:jc w:val="center"/>
        <w:rPr>
          <w:b/>
          <w:bCs/>
        </w:rPr>
      </w:pPr>
      <w:r w:rsidRPr="00631B5F">
        <w:rPr>
          <w:rFonts w:eastAsia="Arial"/>
          <w:b/>
          <w:sz w:val="28"/>
          <w:szCs w:val="28"/>
        </w:rPr>
        <w:t>Aumento d</w:t>
      </w:r>
      <w:r>
        <w:rPr>
          <w:rFonts w:eastAsia="Arial"/>
          <w:b/>
          <w:sz w:val="28"/>
          <w:szCs w:val="28"/>
        </w:rPr>
        <w:t>a</w:t>
      </w:r>
      <w:r w:rsidRPr="00631B5F">
        <w:rPr>
          <w:rFonts w:eastAsia="Arial"/>
          <w:b/>
          <w:sz w:val="28"/>
          <w:szCs w:val="28"/>
        </w:rPr>
        <w:t xml:space="preserve"> </w:t>
      </w:r>
      <w:r>
        <w:rPr>
          <w:rFonts w:eastAsia="Arial"/>
          <w:b/>
          <w:sz w:val="28"/>
          <w:szCs w:val="28"/>
        </w:rPr>
        <w:t>P</w:t>
      </w:r>
      <w:r w:rsidRPr="00631B5F">
        <w:rPr>
          <w:rFonts w:eastAsia="Arial"/>
          <w:b/>
          <w:sz w:val="28"/>
          <w:szCs w:val="28"/>
        </w:rPr>
        <w:t xml:space="preserve">rodutividade na </w:t>
      </w:r>
      <w:r>
        <w:rPr>
          <w:rFonts w:eastAsia="Arial"/>
          <w:b/>
          <w:sz w:val="28"/>
          <w:szCs w:val="28"/>
        </w:rPr>
        <w:t>E</w:t>
      </w:r>
      <w:r w:rsidRPr="00631B5F">
        <w:rPr>
          <w:rFonts w:eastAsia="Arial"/>
          <w:b/>
          <w:sz w:val="28"/>
          <w:szCs w:val="28"/>
        </w:rPr>
        <w:t xml:space="preserve">xecução de </w:t>
      </w:r>
      <w:r>
        <w:rPr>
          <w:rFonts w:eastAsia="Arial"/>
          <w:b/>
          <w:sz w:val="28"/>
          <w:szCs w:val="28"/>
        </w:rPr>
        <w:t>F</w:t>
      </w:r>
      <w:r w:rsidRPr="00631B5F">
        <w:rPr>
          <w:rFonts w:eastAsia="Arial"/>
          <w:b/>
          <w:sz w:val="28"/>
          <w:szCs w:val="28"/>
        </w:rPr>
        <w:t xml:space="preserve">undações </w:t>
      </w:r>
      <w:r w:rsidR="009F051A">
        <w:rPr>
          <w:rFonts w:eastAsia="Arial"/>
          <w:b/>
          <w:sz w:val="28"/>
          <w:szCs w:val="28"/>
        </w:rPr>
        <w:t xml:space="preserve">Metálicas </w:t>
      </w:r>
      <w:r>
        <w:rPr>
          <w:rFonts w:eastAsia="Arial"/>
          <w:b/>
          <w:sz w:val="28"/>
          <w:szCs w:val="28"/>
        </w:rPr>
        <w:t>P</w:t>
      </w:r>
      <w:r w:rsidRPr="00631B5F">
        <w:rPr>
          <w:rFonts w:eastAsia="Arial"/>
          <w:b/>
          <w:sz w:val="28"/>
          <w:szCs w:val="28"/>
        </w:rPr>
        <w:t xml:space="preserve">rofundas pela </w:t>
      </w:r>
      <w:r>
        <w:rPr>
          <w:rFonts w:eastAsia="Arial"/>
          <w:b/>
          <w:sz w:val="28"/>
          <w:szCs w:val="28"/>
        </w:rPr>
        <w:t>I</w:t>
      </w:r>
      <w:r w:rsidRPr="00631B5F">
        <w:rPr>
          <w:rFonts w:eastAsia="Arial"/>
          <w:b/>
          <w:sz w:val="28"/>
          <w:szCs w:val="28"/>
        </w:rPr>
        <w:t xml:space="preserve">ntrodução de </w:t>
      </w:r>
      <w:r>
        <w:rPr>
          <w:rFonts w:eastAsia="Arial"/>
          <w:b/>
          <w:sz w:val="28"/>
          <w:szCs w:val="28"/>
        </w:rPr>
        <w:t>I</w:t>
      </w:r>
      <w:r w:rsidRPr="00631B5F">
        <w:rPr>
          <w:rFonts w:eastAsia="Arial"/>
          <w:b/>
          <w:sz w:val="28"/>
          <w:szCs w:val="28"/>
        </w:rPr>
        <w:t>novações - C</w:t>
      </w:r>
      <w:r>
        <w:rPr>
          <w:rFonts w:eastAsia="Arial"/>
          <w:b/>
          <w:sz w:val="28"/>
          <w:szCs w:val="28"/>
        </w:rPr>
        <w:t>aso</w:t>
      </w:r>
      <w:r w:rsidRPr="00631B5F">
        <w:rPr>
          <w:rFonts w:eastAsia="Arial"/>
          <w:b/>
          <w:sz w:val="28"/>
          <w:szCs w:val="28"/>
        </w:rPr>
        <w:t xml:space="preserve"> INO//FAST</w:t>
      </w:r>
      <w:r w:rsidRPr="00631B5F">
        <w:rPr>
          <w:rFonts w:eastAsia="Arial"/>
          <w:b/>
          <w:sz w:val="28"/>
          <w:szCs w:val="28"/>
          <w:vertAlign w:val="superscript"/>
        </w:rPr>
        <w:t>®</w:t>
      </w:r>
    </w:p>
    <w:p w:rsidR="00437CC1" w:rsidRPr="005F013A" w:rsidRDefault="00437CC1" w:rsidP="005F013A">
      <w:pPr>
        <w:tabs>
          <w:tab w:val="left" w:pos="567"/>
        </w:tabs>
        <w:jc w:val="center"/>
        <w:rPr>
          <w:b/>
          <w:bCs/>
        </w:rPr>
      </w:pPr>
    </w:p>
    <w:p w:rsidR="00505791" w:rsidRPr="005F013A" w:rsidRDefault="0079026E" w:rsidP="005F013A">
      <w:pPr>
        <w:tabs>
          <w:tab w:val="left" w:pos="567"/>
        </w:tabs>
        <w:jc w:val="center"/>
        <w:rPr>
          <w:b/>
          <w:sz w:val="20"/>
        </w:rPr>
      </w:pPr>
      <w:r w:rsidRPr="0079026E">
        <w:rPr>
          <w:b/>
          <w:sz w:val="20"/>
        </w:rPr>
        <w:t>Mayza Batista Alves</w:t>
      </w:r>
    </w:p>
    <w:p w:rsidR="00AD391D" w:rsidRPr="005F013A" w:rsidRDefault="0079026E" w:rsidP="005F013A">
      <w:pPr>
        <w:tabs>
          <w:tab w:val="left" w:pos="567"/>
        </w:tabs>
        <w:jc w:val="center"/>
        <w:rPr>
          <w:b/>
          <w:sz w:val="20"/>
        </w:rPr>
      </w:pPr>
      <w:r w:rsidRPr="0079026E">
        <w:rPr>
          <w:b/>
          <w:sz w:val="20"/>
        </w:rPr>
        <w:t xml:space="preserve">Engenheira Mecânica, </w:t>
      </w:r>
      <w:r>
        <w:rPr>
          <w:b/>
          <w:sz w:val="20"/>
        </w:rPr>
        <w:t>Especialista</w:t>
      </w:r>
      <w:r w:rsidRPr="0079026E">
        <w:rPr>
          <w:b/>
          <w:sz w:val="20"/>
        </w:rPr>
        <w:t xml:space="preserve"> em Gerenciamento de Projetos </w:t>
      </w:r>
    </w:p>
    <w:p w:rsidR="00437CC1" w:rsidRPr="005F013A" w:rsidRDefault="0079026E" w:rsidP="005F013A">
      <w:pPr>
        <w:tabs>
          <w:tab w:val="left" w:pos="567"/>
        </w:tabs>
        <w:jc w:val="center"/>
        <w:rPr>
          <w:b/>
          <w:sz w:val="20"/>
          <w:lang w:val="en-US"/>
        </w:rPr>
      </w:pPr>
      <w:r w:rsidRPr="0079026E">
        <w:rPr>
          <w:b/>
          <w:sz w:val="20"/>
          <w:lang w:val="en-US"/>
        </w:rPr>
        <w:t>alves.mayza@yahoo.com.br</w:t>
      </w:r>
    </w:p>
    <w:p w:rsidR="00AD391D" w:rsidRPr="005F013A" w:rsidRDefault="00AD391D" w:rsidP="005F013A">
      <w:pPr>
        <w:rPr>
          <w:b/>
          <w:sz w:val="20"/>
          <w:lang w:val="en-US"/>
        </w:rPr>
      </w:pPr>
    </w:p>
    <w:p w:rsidR="00575A9C" w:rsidRPr="005F013A" w:rsidRDefault="00631B5F" w:rsidP="005F013A">
      <w:pPr>
        <w:tabs>
          <w:tab w:val="left" w:pos="567"/>
        </w:tabs>
        <w:jc w:val="center"/>
        <w:rPr>
          <w:b/>
          <w:sz w:val="20"/>
        </w:rPr>
      </w:pPr>
      <w:r w:rsidRPr="00631B5F">
        <w:rPr>
          <w:b/>
          <w:bCs/>
          <w:sz w:val="20"/>
        </w:rPr>
        <w:t>Guilherme Geada Sampaio</w:t>
      </w:r>
    </w:p>
    <w:p w:rsidR="00631B5F" w:rsidRDefault="00631B5F" w:rsidP="005F013A">
      <w:pPr>
        <w:tabs>
          <w:tab w:val="left" w:pos="567"/>
        </w:tabs>
        <w:jc w:val="center"/>
        <w:rPr>
          <w:b/>
          <w:bCs/>
          <w:sz w:val="20"/>
        </w:rPr>
      </w:pPr>
      <w:r w:rsidRPr="00631B5F">
        <w:rPr>
          <w:b/>
          <w:bCs/>
          <w:sz w:val="20"/>
        </w:rPr>
        <w:t>Inspetor de Soldagem Nível 2 (ASME B31.1)</w:t>
      </w:r>
      <w:r w:rsidR="0079026E">
        <w:rPr>
          <w:b/>
          <w:bCs/>
          <w:sz w:val="20"/>
        </w:rPr>
        <w:t xml:space="preserve"> e Diretor Comercial</w:t>
      </w:r>
    </w:p>
    <w:p w:rsidR="00575A9C" w:rsidRPr="005F013A" w:rsidRDefault="0079026E" w:rsidP="005F013A">
      <w:pPr>
        <w:tabs>
          <w:tab w:val="left" w:pos="567"/>
        </w:tabs>
        <w:jc w:val="center"/>
        <w:rPr>
          <w:b/>
          <w:sz w:val="20"/>
        </w:rPr>
      </w:pPr>
      <w:r>
        <w:rPr>
          <w:b/>
          <w:bCs/>
          <w:sz w:val="20"/>
        </w:rPr>
        <w:t>INSPEBRAS – Praia Grande</w:t>
      </w:r>
    </w:p>
    <w:p w:rsidR="00575A9C" w:rsidRPr="00F262DD" w:rsidRDefault="0079026E" w:rsidP="005F013A">
      <w:pPr>
        <w:tabs>
          <w:tab w:val="left" w:pos="567"/>
        </w:tabs>
        <w:jc w:val="center"/>
        <w:rPr>
          <w:rStyle w:val="Hyperlink"/>
          <w:b/>
          <w:bCs/>
          <w:color w:val="auto"/>
          <w:sz w:val="20"/>
          <w:u w:val="none"/>
        </w:rPr>
      </w:pPr>
      <w:r w:rsidRPr="0079026E">
        <w:rPr>
          <w:b/>
          <w:bCs/>
          <w:sz w:val="20"/>
        </w:rPr>
        <w:t>guilherme@inspebras.com.br</w:t>
      </w:r>
    </w:p>
    <w:p w:rsidR="001959CD" w:rsidRPr="005F013A" w:rsidRDefault="001959CD" w:rsidP="005F013A">
      <w:pPr>
        <w:tabs>
          <w:tab w:val="left" w:pos="567"/>
        </w:tabs>
        <w:jc w:val="center"/>
        <w:rPr>
          <w:rStyle w:val="Hyperlink"/>
          <w:b/>
          <w:bCs/>
          <w:color w:val="auto"/>
          <w:sz w:val="20"/>
        </w:rPr>
      </w:pPr>
    </w:p>
    <w:p w:rsidR="0079026E" w:rsidRPr="005F013A" w:rsidRDefault="0079026E" w:rsidP="0079026E">
      <w:pPr>
        <w:tabs>
          <w:tab w:val="left" w:pos="567"/>
        </w:tabs>
        <w:jc w:val="center"/>
        <w:rPr>
          <w:b/>
          <w:sz w:val="20"/>
        </w:rPr>
      </w:pPr>
      <w:r>
        <w:rPr>
          <w:b/>
          <w:sz w:val="20"/>
        </w:rPr>
        <w:t>Willy Ank de Morais</w:t>
      </w:r>
    </w:p>
    <w:p w:rsidR="0079026E" w:rsidRPr="005F013A" w:rsidRDefault="0079026E" w:rsidP="0079026E">
      <w:pPr>
        <w:tabs>
          <w:tab w:val="left" w:pos="567"/>
        </w:tabs>
        <w:jc w:val="center"/>
        <w:rPr>
          <w:b/>
          <w:sz w:val="20"/>
        </w:rPr>
      </w:pPr>
      <w:r>
        <w:rPr>
          <w:b/>
          <w:sz w:val="20"/>
        </w:rPr>
        <w:t>Professor</w:t>
      </w:r>
      <w:r w:rsidRPr="005F013A">
        <w:rPr>
          <w:b/>
          <w:sz w:val="20"/>
        </w:rPr>
        <w:t xml:space="preserve"> do curso de Engenharia </w:t>
      </w:r>
      <w:r>
        <w:rPr>
          <w:b/>
          <w:sz w:val="20"/>
        </w:rPr>
        <w:t>Civil</w:t>
      </w:r>
    </w:p>
    <w:p w:rsidR="0079026E" w:rsidRPr="005F013A" w:rsidRDefault="0079026E" w:rsidP="0079026E">
      <w:pPr>
        <w:tabs>
          <w:tab w:val="left" w:pos="567"/>
        </w:tabs>
        <w:jc w:val="center"/>
        <w:rPr>
          <w:b/>
          <w:sz w:val="20"/>
          <w:lang w:val="en-US"/>
        </w:rPr>
      </w:pPr>
      <w:r w:rsidRPr="005F013A">
        <w:rPr>
          <w:b/>
          <w:sz w:val="20"/>
          <w:lang w:val="en-US"/>
        </w:rPr>
        <w:t xml:space="preserve">UNAERP Campus </w:t>
      </w:r>
      <w:proofErr w:type="spellStart"/>
      <w:r w:rsidRPr="005F013A">
        <w:rPr>
          <w:b/>
          <w:sz w:val="20"/>
          <w:lang w:val="en-US"/>
        </w:rPr>
        <w:t>Guarujá</w:t>
      </w:r>
      <w:proofErr w:type="spellEnd"/>
    </w:p>
    <w:p w:rsidR="0079026E" w:rsidRPr="005F013A" w:rsidRDefault="0079026E" w:rsidP="0079026E">
      <w:pPr>
        <w:tabs>
          <w:tab w:val="left" w:pos="567"/>
        </w:tabs>
        <w:jc w:val="center"/>
        <w:rPr>
          <w:b/>
          <w:sz w:val="20"/>
          <w:lang w:val="en-US"/>
        </w:rPr>
      </w:pPr>
      <w:r>
        <w:rPr>
          <w:b/>
          <w:sz w:val="20"/>
          <w:lang w:val="en-US"/>
        </w:rPr>
        <w:t>w.morais@unaerp.br</w:t>
      </w:r>
    </w:p>
    <w:p w:rsidR="00437CC1" w:rsidRPr="005F013A" w:rsidRDefault="00437CC1" w:rsidP="005F013A">
      <w:pPr>
        <w:rPr>
          <w:b/>
          <w:sz w:val="20"/>
        </w:rPr>
      </w:pPr>
    </w:p>
    <w:p w:rsidR="00437CC1" w:rsidRPr="005F013A" w:rsidRDefault="00437CC1" w:rsidP="005F013A">
      <w:pPr>
        <w:rPr>
          <w:b/>
          <w:sz w:val="20"/>
        </w:rPr>
      </w:pPr>
    </w:p>
    <w:p w:rsidR="00437CC1" w:rsidRPr="005F013A" w:rsidRDefault="00437CC1" w:rsidP="005F013A">
      <w:pPr>
        <w:tabs>
          <w:tab w:val="left" w:pos="567"/>
        </w:tabs>
        <w:jc w:val="center"/>
        <w:rPr>
          <w:b/>
        </w:rPr>
      </w:pPr>
      <w:r w:rsidRPr="005F013A">
        <w:rPr>
          <w:rStyle w:val="Forte"/>
          <w:b w:val="0"/>
        </w:rPr>
        <w:t>Seção 4.</w:t>
      </w:r>
      <w:r w:rsidRPr="005F013A">
        <w:t> Monografias, artigos científicos  e Trabalhos de Conclusão de Curso (TCC), sobre </w:t>
      </w:r>
      <w:r w:rsidRPr="005F013A">
        <w:rPr>
          <w:rStyle w:val="Forte"/>
          <w:b w:val="0"/>
        </w:rPr>
        <w:t>outros temas e relacionados a qualquer curso</w:t>
      </w:r>
      <w:r w:rsidRPr="005F013A">
        <w:rPr>
          <w:b/>
        </w:rPr>
        <w:t>.</w:t>
      </w:r>
      <w:r w:rsidRPr="005F013A">
        <w:rPr>
          <w:rStyle w:val="apple-converted-space"/>
          <w:b/>
        </w:rPr>
        <w:t> </w:t>
      </w: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F75E26" w:rsidRPr="005F013A" w:rsidRDefault="00437CC1" w:rsidP="005F013A">
      <w:pPr>
        <w:tabs>
          <w:tab w:val="left" w:pos="567"/>
        </w:tabs>
        <w:jc w:val="center"/>
        <w:rPr>
          <w:b/>
          <w:bCs/>
        </w:rPr>
      </w:pPr>
      <w:r w:rsidRPr="005F013A">
        <w:rPr>
          <w:b/>
          <w:bCs/>
        </w:rPr>
        <w:t>Este simpósio tem o apoio da Fundação Eduardo Lee.</w:t>
      </w:r>
    </w:p>
    <w:p w:rsidR="001959CD" w:rsidRPr="005F013A" w:rsidRDefault="001959CD"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575A9C" w:rsidRPr="005F013A" w:rsidRDefault="00631B5F" w:rsidP="005F013A">
      <w:pPr>
        <w:tabs>
          <w:tab w:val="left" w:pos="567"/>
        </w:tabs>
        <w:jc w:val="both"/>
      </w:pPr>
      <w:r w:rsidRPr="00631B5F">
        <w:t>Historicamente a execução de fundações profundas com perfis metálicos eram prejudicadas pela falta de sincronia entre as atividades de cravação das vigas e suas emendas. O grande problema é a demora na execução das emendas, tipicamente pelo uso de soldagem com talas, que normalmente leva 1 hora para ser completada. Neste trabalho analisou-se o Caminho Critico (MCC) da operação para incrementar a produtividade na execução de fundações profundas pela adoção de dispositivos, equipamentos e processos de alta produtividade, encabeçados por soldadores qualificados e certificados. Com isso, criou-se o processo INO///FAST</w:t>
      </w:r>
      <w:r w:rsidRPr="00631B5F">
        <w:rPr>
          <w:vertAlign w:val="superscript"/>
        </w:rPr>
        <w:t>®</w:t>
      </w:r>
      <w:r w:rsidRPr="00631B5F">
        <w:t>, aqui apresentado, que permite obter uma emenda, atendendo plenamente aos preceitos da norma ABNT NBR 6122:1996 (“Projeto e execução de fundações”), em apenas 10 minutos. O processo desenvolvido foi analisado, verificado e comprovado em uso prático por pesquisadores, engenheiros e técnicos</w:t>
      </w:r>
      <w:r w:rsidR="00575A9C" w:rsidRPr="005F013A">
        <w:t>.</w:t>
      </w:r>
    </w:p>
    <w:p w:rsidR="00AC794B" w:rsidRPr="005F013A" w:rsidRDefault="00AC794B" w:rsidP="005F013A">
      <w:pPr>
        <w:shd w:val="clear" w:color="auto" w:fill="FFFFFF"/>
        <w:textAlignment w:val="top"/>
      </w:pPr>
    </w:p>
    <w:p w:rsidR="00244B0C" w:rsidRPr="005F013A" w:rsidRDefault="00005335" w:rsidP="005F013A">
      <w:pPr>
        <w:jc w:val="both"/>
      </w:pPr>
      <w:r w:rsidRPr="005F013A">
        <w:rPr>
          <w:i/>
        </w:rPr>
        <w:t>Palavras-Chave</w:t>
      </w:r>
      <w:r w:rsidR="004721F4" w:rsidRPr="005F013A">
        <w:rPr>
          <w:i/>
        </w:rPr>
        <w:t xml:space="preserve">: </w:t>
      </w:r>
      <w:r w:rsidR="00631B5F" w:rsidRPr="00631B5F">
        <w:rPr>
          <w:i/>
        </w:rPr>
        <w:t>Produtividade; Método do Caminho Crítico; Fundações profundas; Aços estruturais</w:t>
      </w:r>
      <w:r w:rsidR="00575A9C" w:rsidRPr="005F013A">
        <w:rPr>
          <w:i/>
        </w:rPr>
        <w:t>.</w:t>
      </w:r>
      <w:bookmarkStart w:id="0" w:name="_GoBack"/>
      <w:bookmarkEnd w:id="0"/>
    </w:p>
    <w:p w:rsidR="00F75E26" w:rsidRPr="005F013A" w:rsidRDefault="00F75E26" w:rsidP="005F013A">
      <w:pPr>
        <w:tabs>
          <w:tab w:val="left" w:pos="567"/>
          <w:tab w:val="left" w:pos="709"/>
        </w:tabs>
        <w:spacing w:after="120"/>
        <w:jc w:val="both"/>
        <w:rPr>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t>Summary</w:t>
      </w:r>
      <w:r w:rsidR="002C6036" w:rsidRPr="005F013A">
        <w:rPr>
          <w:b/>
          <w:bCs/>
          <w:lang w:val="en-US"/>
        </w:rPr>
        <w:t xml:space="preserve"> </w:t>
      </w:r>
    </w:p>
    <w:p w:rsidR="00AA1FC8" w:rsidRPr="00AA1FC8" w:rsidRDefault="00631B5F" w:rsidP="00AA1F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12121"/>
          <w:lang w:val="en-US"/>
        </w:rPr>
      </w:pPr>
      <w:r w:rsidRPr="00631B5F">
        <w:rPr>
          <w:color w:val="212121"/>
          <w:lang w:val="en"/>
        </w:rPr>
        <w:t xml:space="preserve">Historically the execution of deep foundations with metal profiles were affected by the lack of synchronization between the driving (spiking) activity of the beams and its junction. The </w:t>
      </w:r>
      <w:r w:rsidRPr="00631B5F">
        <w:rPr>
          <w:color w:val="212121"/>
          <w:lang w:val="en"/>
        </w:rPr>
        <w:lastRenderedPageBreak/>
        <w:t xml:space="preserve">major concern is with the delay in the implementation of the joints, typically by welding use with splints, which </w:t>
      </w:r>
      <w:proofErr w:type="spellStart"/>
      <w:r w:rsidRPr="00631B5F">
        <w:rPr>
          <w:color w:val="212121"/>
          <w:lang w:val="en"/>
        </w:rPr>
        <w:t>normaly</w:t>
      </w:r>
      <w:proofErr w:type="spellEnd"/>
      <w:r w:rsidRPr="00631B5F">
        <w:rPr>
          <w:color w:val="212121"/>
          <w:lang w:val="en"/>
        </w:rPr>
        <w:t xml:space="preserve"> takes 1 hour to be complete. In this work It was </w:t>
      </w:r>
      <w:proofErr w:type="spellStart"/>
      <w:r w:rsidRPr="00631B5F">
        <w:rPr>
          <w:color w:val="212121"/>
          <w:lang w:val="en"/>
        </w:rPr>
        <w:t>analised</w:t>
      </w:r>
      <w:proofErr w:type="spellEnd"/>
      <w:r w:rsidRPr="00631B5F">
        <w:rPr>
          <w:color w:val="212121"/>
          <w:lang w:val="en"/>
        </w:rPr>
        <w:t xml:space="preserve"> the Critical Path of operation to boost productivity on execution of deep foundations by the adoption of devices, equipment and high productivity processes, headed by trained and certified welders. Thus, it was created the INO///FAST™ process, introduced here, that alloys obtaining a joint, which fully complies with the requirements of Brazilian standard NBR 6122:1996 (“Design and construction of foundations”), in just 10 minutes. The developed process was analyzed, verified and proven during practical use by researchers, engineers and technicians</w:t>
      </w:r>
      <w:r w:rsidR="00AA1FC8" w:rsidRPr="00AA1FC8">
        <w:rPr>
          <w:color w:val="212121"/>
          <w:lang w:val="en"/>
        </w:rPr>
        <w:t>.</w:t>
      </w:r>
    </w:p>
    <w:p w:rsidR="005F1D34" w:rsidRPr="005F013A" w:rsidRDefault="005F1D34" w:rsidP="005F013A">
      <w:pPr>
        <w:tabs>
          <w:tab w:val="left" w:pos="567"/>
          <w:tab w:val="left" w:pos="709"/>
        </w:tabs>
        <w:autoSpaceDE w:val="0"/>
        <w:autoSpaceDN w:val="0"/>
        <w:adjustRightInd w:val="0"/>
        <w:spacing w:after="120"/>
        <w:jc w:val="both"/>
        <w:rPr>
          <w:lang w:val="en-US"/>
        </w:rPr>
      </w:pPr>
    </w:p>
    <w:p w:rsidR="00705AA9" w:rsidRPr="005F013A" w:rsidRDefault="00705AA9" w:rsidP="005F013A">
      <w:pPr>
        <w:tabs>
          <w:tab w:val="left" w:pos="567"/>
          <w:tab w:val="left" w:pos="709"/>
        </w:tabs>
        <w:autoSpaceDE w:val="0"/>
        <w:autoSpaceDN w:val="0"/>
        <w:adjustRightInd w:val="0"/>
        <w:spacing w:after="120"/>
        <w:jc w:val="both"/>
        <w:rPr>
          <w:i/>
          <w:iCs/>
          <w:lang w:val="en-US"/>
        </w:rPr>
      </w:pPr>
      <w:r w:rsidRPr="005F013A">
        <w:rPr>
          <w:i/>
          <w:iCs/>
          <w:lang w:val="en-US"/>
        </w:rPr>
        <w:t xml:space="preserve">Keywords: </w:t>
      </w:r>
      <w:r w:rsidR="00631B5F" w:rsidRPr="00631B5F">
        <w:rPr>
          <w:i/>
          <w:iCs/>
          <w:lang w:val="en-US"/>
        </w:rPr>
        <w:t>Productivity; Critical Path Method; deep foundations; structural steel</w:t>
      </w:r>
      <w:r w:rsidR="008125BD" w:rsidRPr="005F013A">
        <w:rPr>
          <w:i/>
          <w:iCs/>
          <w:lang w:val="en-US"/>
        </w:rPr>
        <w:t>.</w:t>
      </w:r>
    </w:p>
    <w:p w:rsidR="0063252C" w:rsidRPr="005F013A" w:rsidRDefault="0063252C" w:rsidP="005F013A">
      <w:pPr>
        <w:tabs>
          <w:tab w:val="left" w:pos="567"/>
          <w:tab w:val="left" w:pos="709"/>
        </w:tabs>
        <w:spacing w:after="120"/>
        <w:jc w:val="both"/>
        <w:rPr>
          <w:bCs/>
          <w:i/>
          <w:lang w:val="en-US"/>
        </w:rPr>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CE0818" w:rsidRPr="005F013A" w:rsidRDefault="00CE0818" w:rsidP="005F013A">
      <w:pPr>
        <w:jc w:val="both"/>
        <w:rPr>
          <w:b/>
        </w:rPr>
      </w:pPr>
    </w:p>
    <w:p w:rsidR="00953EB9" w:rsidRDefault="00416DBF" w:rsidP="00631B5F">
      <w:pPr>
        <w:shd w:val="clear" w:color="auto" w:fill="FFFFFF"/>
        <w:ind w:firstLine="360"/>
        <w:jc w:val="both"/>
        <w:textAlignment w:val="top"/>
        <w:rPr>
          <w:bCs/>
        </w:rPr>
      </w:pPr>
      <w:r w:rsidRPr="005F013A">
        <w:tab/>
      </w:r>
      <w:r w:rsidR="00631B5F" w:rsidRPr="00631B5F">
        <w:t xml:space="preserve">Para a execução de fundações sólidas, executadas em terrenos pouco resistentes e profundos, torna-se necessário a realização de um estaqueamento profundo. Um dos principais métodos de execução de fundações profundas </w:t>
      </w:r>
      <w:r w:rsidR="009B04AD">
        <w:t>(NBR 6122:1996)</w:t>
      </w:r>
      <w:r w:rsidR="00631B5F" w:rsidRPr="00631B5F">
        <w:t xml:space="preserve"> é pelo uso de vigas metálicas, atu</w:t>
      </w:r>
      <w:r w:rsidR="009B04AD">
        <w:t>almente no aço ASTM A572 Gr.50 (2015)</w:t>
      </w:r>
      <w:r w:rsidR="00631B5F" w:rsidRPr="00631B5F">
        <w:t>, e que possuem um comprimento padrão de 12m. Como estas vigas são cravadas, formando estacas metálicas, em profundidades que ultrapassam o seu comprimento padrão, conforme ilustrado na Figura 1, torna-se necessário promover a sua união. O método mais tradicionalmente empregado é através da soldagem de topo destes perfis compleme</w:t>
      </w:r>
      <w:r w:rsidR="009B04AD">
        <w:t>ntada pela soldagem de talas (NBR 6122:1996)</w:t>
      </w:r>
      <w:r w:rsidR="00631B5F" w:rsidRPr="00631B5F">
        <w:t>, conforme exemplificado na Figura 2</w:t>
      </w:r>
      <w:r w:rsidR="001643D6" w:rsidRPr="005F013A">
        <w:rPr>
          <w:bCs/>
        </w:rPr>
        <w:t>.</w:t>
      </w:r>
    </w:p>
    <w:p w:rsidR="009B04AD" w:rsidRDefault="009B04AD" w:rsidP="009B04AD">
      <w:pPr>
        <w:shd w:val="clear" w:color="auto" w:fill="FFFFFF"/>
        <w:jc w:val="both"/>
        <w:textAlignment w:val="top"/>
        <w:rPr>
          <w:bCs/>
        </w:rPr>
      </w:pPr>
    </w:p>
    <w:p w:rsidR="009B04AD" w:rsidRDefault="009B04AD" w:rsidP="009B04AD">
      <w:pPr>
        <w:suppressAutoHyphens/>
        <w:contextualSpacing/>
        <w:jc w:val="center"/>
      </w:pPr>
      <w:r w:rsidRPr="00E2339B">
        <w:rPr>
          <w:rFonts w:ascii="Verdana" w:hAnsi="Verdana" w:cs="Times New Roman"/>
          <w:noProof/>
          <w:color w:val="333333"/>
          <w:sz w:val="17"/>
          <w:szCs w:val="17"/>
        </w:rPr>
        <w:drawing>
          <wp:inline distT="0" distB="0" distL="0" distR="0" wp14:anchorId="52FCF4AA" wp14:editId="4D42FA5E">
            <wp:extent cx="3762390" cy="3312000"/>
            <wp:effectExtent l="0" t="0" r="0" b="3175"/>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a 0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62390" cy="3312000"/>
                    </a:xfrm>
                    <a:prstGeom prst="rect">
                      <a:avLst/>
                    </a:prstGeom>
                  </pic:spPr>
                </pic:pic>
              </a:graphicData>
            </a:graphic>
          </wp:inline>
        </w:drawing>
      </w:r>
    </w:p>
    <w:p w:rsidR="009B04AD" w:rsidRPr="007722C2" w:rsidRDefault="009B04AD" w:rsidP="009B04AD">
      <w:pPr>
        <w:pStyle w:val="Corpodetexto"/>
        <w:suppressAutoHyphens/>
        <w:spacing w:line="240" w:lineRule="auto"/>
        <w:contextualSpacing/>
        <w:jc w:val="center"/>
        <w:rPr>
          <w:b/>
          <w:bCs/>
        </w:rPr>
      </w:pPr>
      <w:r w:rsidRPr="007722C2">
        <w:rPr>
          <w:sz w:val="20"/>
          <w:szCs w:val="20"/>
        </w:rPr>
        <w:t xml:space="preserve">Figura 1. </w:t>
      </w:r>
      <w:r w:rsidRPr="00B3640B">
        <w:rPr>
          <w:sz w:val="20"/>
          <w:szCs w:val="20"/>
        </w:rPr>
        <w:t>Exemplo de execução de uma sequência de cravação de estacas</w:t>
      </w:r>
      <w:r>
        <w:rPr>
          <w:sz w:val="20"/>
          <w:szCs w:val="20"/>
        </w:rPr>
        <w:t xml:space="preserve"> </w:t>
      </w:r>
      <w:r w:rsidRPr="00B3640B">
        <w:rPr>
          <w:sz w:val="20"/>
          <w:szCs w:val="20"/>
        </w:rPr>
        <w:t>formadas por q</w:t>
      </w:r>
      <w:r>
        <w:rPr>
          <w:sz w:val="20"/>
          <w:szCs w:val="20"/>
        </w:rPr>
        <w:t>uatro perfis estruturais de 12m</w:t>
      </w:r>
      <w:r w:rsidRPr="00C51E45">
        <w:rPr>
          <w:sz w:val="20"/>
          <w:szCs w:val="20"/>
        </w:rPr>
        <w:t>.</w:t>
      </w:r>
    </w:p>
    <w:p w:rsidR="009B04AD" w:rsidRDefault="009B04AD" w:rsidP="009B04AD">
      <w:pPr>
        <w:shd w:val="clear" w:color="auto" w:fill="FFFFFF"/>
        <w:jc w:val="both"/>
        <w:textAlignment w:val="top"/>
        <w:rPr>
          <w:bCs/>
        </w:rPr>
      </w:pPr>
    </w:p>
    <w:p w:rsidR="009B04AD" w:rsidRDefault="009B04AD" w:rsidP="009B04AD">
      <w:pPr>
        <w:jc w:val="center"/>
      </w:pPr>
      <w:r>
        <w:rPr>
          <w:noProof/>
        </w:rPr>
        <w:drawing>
          <wp:inline distT="0" distB="0" distL="0" distR="0" wp14:anchorId="26AFCA3E" wp14:editId="40EE7FD8">
            <wp:extent cx="2880000" cy="927272"/>
            <wp:effectExtent l="0" t="0" r="0" b="635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ura 2.jpg"/>
                    <pic:cNvPicPr/>
                  </pic:nvPicPr>
                  <pic:blipFill rotWithShape="1">
                    <a:blip r:embed="rId9" cstate="print">
                      <a:extLst>
                        <a:ext uri="{28A0092B-C50C-407E-A947-70E740481C1C}">
                          <a14:useLocalDpi xmlns:a14="http://schemas.microsoft.com/office/drawing/2010/main" val="0"/>
                        </a:ext>
                      </a:extLst>
                    </a:blip>
                    <a:srcRect b="51038"/>
                    <a:stretch/>
                  </pic:blipFill>
                  <pic:spPr bwMode="auto">
                    <a:xfrm>
                      <a:off x="0" y="0"/>
                      <a:ext cx="2880000" cy="927272"/>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8AB6636" wp14:editId="027CF498">
            <wp:extent cx="2880000" cy="924441"/>
            <wp:effectExtent l="0" t="0" r="0" b="9525"/>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ura 2.jpg"/>
                    <pic:cNvPicPr/>
                  </pic:nvPicPr>
                  <pic:blipFill rotWithShape="1">
                    <a:blip r:embed="rId9" cstate="print">
                      <a:extLst>
                        <a:ext uri="{28A0092B-C50C-407E-A947-70E740481C1C}">
                          <a14:useLocalDpi xmlns:a14="http://schemas.microsoft.com/office/drawing/2010/main" val="0"/>
                        </a:ext>
                      </a:extLst>
                    </a:blip>
                    <a:srcRect t="51188"/>
                    <a:stretch/>
                  </pic:blipFill>
                  <pic:spPr bwMode="auto">
                    <a:xfrm>
                      <a:off x="0" y="0"/>
                      <a:ext cx="2880000" cy="924441"/>
                    </a:xfrm>
                    <a:prstGeom prst="rect">
                      <a:avLst/>
                    </a:prstGeom>
                    <a:ln>
                      <a:noFill/>
                    </a:ln>
                    <a:extLst>
                      <a:ext uri="{53640926-AAD7-44D8-BBD7-CCE9431645EC}">
                        <a14:shadowObscured xmlns:a14="http://schemas.microsoft.com/office/drawing/2010/main"/>
                      </a:ext>
                    </a:extLst>
                  </pic:spPr>
                </pic:pic>
              </a:graphicData>
            </a:graphic>
          </wp:inline>
        </w:drawing>
      </w:r>
    </w:p>
    <w:p w:rsidR="009B04AD" w:rsidRPr="007722C2" w:rsidRDefault="009B04AD" w:rsidP="009B04AD">
      <w:pPr>
        <w:pStyle w:val="Corpodetexto"/>
        <w:suppressAutoHyphens/>
        <w:spacing w:line="240" w:lineRule="auto"/>
        <w:contextualSpacing/>
        <w:jc w:val="center"/>
        <w:rPr>
          <w:b/>
          <w:bCs/>
        </w:rPr>
      </w:pPr>
      <w:r>
        <w:rPr>
          <w:sz w:val="20"/>
          <w:szCs w:val="20"/>
        </w:rPr>
        <w:t>Figura 2</w:t>
      </w:r>
      <w:r w:rsidRPr="007722C2">
        <w:rPr>
          <w:sz w:val="20"/>
          <w:szCs w:val="20"/>
        </w:rPr>
        <w:t xml:space="preserve">. </w:t>
      </w:r>
      <w:r w:rsidRPr="00C51E45">
        <w:rPr>
          <w:sz w:val="20"/>
          <w:szCs w:val="20"/>
        </w:rPr>
        <w:t xml:space="preserve">Ilustração do processo de união de perfis metálicos constituintes de uma </w:t>
      </w:r>
      <w:proofErr w:type="gramStart"/>
      <w:r w:rsidRPr="00C51E45">
        <w:rPr>
          <w:sz w:val="20"/>
          <w:szCs w:val="20"/>
        </w:rPr>
        <w:t>estaca  de</w:t>
      </w:r>
      <w:proofErr w:type="gramEnd"/>
      <w:r w:rsidRPr="00C51E45">
        <w:rPr>
          <w:sz w:val="20"/>
          <w:szCs w:val="20"/>
        </w:rPr>
        <w:t xml:space="preserve"> uma fundação profunda.</w:t>
      </w:r>
    </w:p>
    <w:p w:rsidR="009B04AD" w:rsidRDefault="009B04AD" w:rsidP="009B04AD">
      <w:pPr>
        <w:shd w:val="clear" w:color="auto" w:fill="FFFFFF"/>
        <w:jc w:val="both"/>
        <w:textAlignment w:val="top"/>
        <w:rPr>
          <w:bCs/>
        </w:rPr>
      </w:pPr>
    </w:p>
    <w:p w:rsidR="009B04AD" w:rsidRDefault="009B04AD" w:rsidP="009B04AD">
      <w:pPr>
        <w:shd w:val="clear" w:color="auto" w:fill="FFFFFF"/>
        <w:ind w:firstLine="708"/>
        <w:jc w:val="both"/>
        <w:textAlignment w:val="top"/>
        <w:rPr>
          <w:bCs/>
        </w:rPr>
      </w:pPr>
      <w:r w:rsidRPr="009B04AD">
        <w:rPr>
          <w:bCs/>
        </w:rPr>
        <w:t>Como em qualquer atividade industrial, na operação de cravação de estacas objetiva-se a obtenção das seguintes condições durante sua execução: segurança, qualidade, rapidez, custo competitivo e eficiência. O atraso nas atividades de cravação das estacas impacta diretamente o cronograma de toda obra civil e a disponibilidade de espaços produtivos (</w:t>
      </w:r>
      <w:proofErr w:type="spellStart"/>
      <w:r w:rsidRPr="009B04AD">
        <w:rPr>
          <w:bCs/>
          <w:i/>
        </w:rPr>
        <w:t>greenfield</w:t>
      </w:r>
      <w:proofErr w:type="spellEnd"/>
      <w:r w:rsidRPr="009B04AD">
        <w:rPr>
          <w:bCs/>
        </w:rPr>
        <w:t xml:space="preserve"> ou </w:t>
      </w:r>
      <w:proofErr w:type="spellStart"/>
      <w:r w:rsidRPr="009B04AD">
        <w:rPr>
          <w:bCs/>
          <w:i/>
        </w:rPr>
        <w:t>brownfield</w:t>
      </w:r>
      <w:proofErr w:type="spellEnd"/>
      <w:r w:rsidRPr="009B04AD">
        <w:rPr>
          <w:bCs/>
        </w:rPr>
        <w:t>) conforme os planejamentos existentes. Por outro lado, uma baixa qualidade das juntas soldadas pode acarretar em acidentes envolvendo queda de vigas de grande peso e que podem causar perdas econômicas e humanas no canteiro de obras. Esta condição, oriunda de terceiros, já foi objeto de testemunho dos presentes autores, conforme o caso ilustrado na Figura 3.</w:t>
      </w:r>
    </w:p>
    <w:p w:rsidR="00631B5F" w:rsidRDefault="00631B5F" w:rsidP="009B04AD">
      <w:pPr>
        <w:shd w:val="clear" w:color="auto" w:fill="FFFFFF"/>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469"/>
        <w:gridCol w:w="2625"/>
      </w:tblGrid>
      <w:tr w:rsidR="00200424" w:rsidTr="00F90E22">
        <w:tc>
          <w:tcPr>
            <w:tcW w:w="2977" w:type="dxa"/>
            <w:vAlign w:val="bottom"/>
          </w:tcPr>
          <w:p w:rsidR="00200424" w:rsidRDefault="00200424" w:rsidP="001D0867">
            <w:pPr>
              <w:jc w:val="center"/>
            </w:pPr>
            <w:r>
              <w:rPr>
                <w:noProof/>
              </w:rPr>
              <w:drawing>
                <wp:inline distT="0" distB="0" distL="0" distR="0" wp14:anchorId="0D147B38" wp14:editId="65C7CC96">
                  <wp:extent cx="1497684" cy="1440000"/>
                  <wp:effectExtent l="0" t="0" r="7620" b="8255"/>
                  <wp:docPr id="3" name="Imagem 3" descr="C:\Users\WillyAnk\Documents\ARTIGOS\2016\ABM Week\29999 - INOFAST\Figura 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llyAnk\Documents\ARTIGOS\2016\ABM Week\29999 - INOFAST\Figura 0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97684" cy="1440000"/>
                          </a:xfrm>
                          <a:prstGeom prst="rect">
                            <a:avLst/>
                          </a:prstGeom>
                          <a:noFill/>
                          <a:ln>
                            <a:noFill/>
                          </a:ln>
                        </pic:spPr>
                      </pic:pic>
                    </a:graphicData>
                  </a:graphic>
                </wp:inline>
              </w:drawing>
            </w:r>
          </w:p>
        </w:tc>
        <w:tc>
          <w:tcPr>
            <w:tcW w:w="3469" w:type="dxa"/>
            <w:vAlign w:val="bottom"/>
          </w:tcPr>
          <w:p w:rsidR="00200424" w:rsidRDefault="00200424" w:rsidP="001D0867">
            <w:pPr>
              <w:jc w:val="center"/>
            </w:pPr>
            <w:r>
              <w:rPr>
                <w:noProof/>
              </w:rPr>
              <w:drawing>
                <wp:inline distT="0" distB="0" distL="0" distR="0" wp14:anchorId="3D008E01" wp14:editId="59548B56">
                  <wp:extent cx="1759313" cy="1440000"/>
                  <wp:effectExtent l="0" t="0" r="0" b="825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59313" cy="1440000"/>
                          </a:xfrm>
                          <a:prstGeom prst="rect">
                            <a:avLst/>
                          </a:prstGeom>
                          <a:noFill/>
                        </pic:spPr>
                      </pic:pic>
                    </a:graphicData>
                  </a:graphic>
                </wp:inline>
              </w:drawing>
            </w:r>
          </w:p>
        </w:tc>
        <w:tc>
          <w:tcPr>
            <w:tcW w:w="2625" w:type="dxa"/>
            <w:vAlign w:val="bottom"/>
          </w:tcPr>
          <w:p w:rsidR="00200424" w:rsidRDefault="00200424" w:rsidP="001D0867">
            <w:pPr>
              <w:jc w:val="center"/>
            </w:pPr>
            <w:r>
              <w:rPr>
                <w:noProof/>
              </w:rPr>
              <w:drawing>
                <wp:inline distT="0" distB="0" distL="0" distR="0" wp14:anchorId="1B724D51" wp14:editId="0B0CE58F">
                  <wp:extent cx="1516631" cy="1440000"/>
                  <wp:effectExtent l="0" t="0" r="7620" b="825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16631" cy="1440000"/>
                          </a:xfrm>
                          <a:prstGeom prst="rect">
                            <a:avLst/>
                          </a:prstGeom>
                          <a:noFill/>
                        </pic:spPr>
                      </pic:pic>
                    </a:graphicData>
                  </a:graphic>
                </wp:inline>
              </w:drawing>
            </w:r>
          </w:p>
        </w:tc>
      </w:tr>
    </w:tbl>
    <w:p w:rsidR="00200424" w:rsidRPr="007722C2" w:rsidRDefault="00200424" w:rsidP="00200424">
      <w:pPr>
        <w:pStyle w:val="Corpodetexto"/>
        <w:suppressAutoHyphens/>
        <w:contextualSpacing/>
        <w:jc w:val="center"/>
        <w:rPr>
          <w:b/>
          <w:bCs/>
        </w:rPr>
      </w:pPr>
      <w:r>
        <w:rPr>
          <w:sz w:val="20"/>
          <w:szCs w:val="20"/>
        </w:rPr>
        <w:t>Figura 3</w:t>
      </w:r>
      <w:r w:rsidRPr="007722C2">
        <w:rPr>
          <w:sz w:val="20"/>
          <w:szCs w:val="20"/>
        </w:rPr>
        <w:t xml:space="preserve">. </w:t>
      </w:r>
      <w:r>
        <w:rPr>
          <w:sz w:val="20"/>
          <w:szCs w:val="20"/>
        </w:rPr>
        <w:t>Caso de queda de viga durante operação.</w:t>
      </w:r>
    </w:p>
    <w:p w:rsidR="00200424" w:rsidRDefault="00200424" w:rsidP="009B04AD">
      <w:pPr>
        <w:shd w:val="clear" w:color="auto" w:fill="FFFFFF"/>
        <w:jc w:val="both"/>
        <w:textAlignment w:val="top"/>
        <w:rPr>
          <w:bCs/>
        </w:rPr>
      </w:pPr>
    </w:p>
    <w:p w:rsidR="009B04AD" w:rsidRDefault="00200424" w:rsidP="00200424">
      <w:pPr>
        <w:shd w:val="clear" w:color="auto" w:fill="FFFFFF"/>
        <w:ind w:firstLine="708"/>
        <w:jc w:val="both"/>
        <w:textAlignment w:val="top"/>
        <w:rPr>
          <w:bCs/>
        </w:rPr>
      </w:pPr>
      <w:r w:rsidRPr="00200424">
        <w:rPr>
          <w:bCs/>
        </w:rPr>
        <w:t>Neste trabalho, foram determinadas as atividades e tarefas de maior peso no Caminho Crítico (CC) do processo de cravação de estacas. Considerando o caso mais comum, no qual vigas de a</w:t>
      </w:r>
      <w:r>
        <w:rPr>
          <w:bCs/>
        </w:rPr>
        <w:t>ço estrutural ASTM A572 Gr.50 (2015)</w:t>
      </w:r>
      <w:r w:rsidRPr="00200424">
        <w:rPr>
          <w:bCs/>
        </w:rPr>
        <w:t xml:space="preserve"> são unidas, com o emprego de talas, através da soldagem por eletrodo revestido (SMAW</w:t>
      </w:r>
      <w:r>
        <w:rPr>
          <w:bCs/>
        </w:rPr>
        <w:t xml:space="preserve"> - </w:t>
      </w:r>
      <w:proofErr w:type="spellStart"/>
      <w:r>
        <w:rPr>
          <w:bCs/>
        </w:rPr>
        <w:t>Shielded</w:t>
      </w:r>
      <w:proofErr w:type="spellEnd"/>
      <w:r>
        <w:rPr>
          <w:bCs/>
        </w:rPr>
        <w:t xml:space="preserve"> Metal </w:t>
      </w:r>
      <w:proofErr w:type="spellStart"/>
      <w:r>
        <w:rPr>
          <w:bCs/>
        </w:rPr>
        <w:t>Arc</w:t>
      </w:r>
      <w:proofErr w:type="spellEnd"/>
      <w:r>
        <w:rPr>
          <w:bCs/>
        </w:rPr>
        <w:t xml:space="preserve"> </w:t>
      </w:r>
      <w:proofErr w:type="spellStart"/>
      <w:r>
        <w:rPr>
          <w:bCs/>
        </w:rPr>
        <w:t>Welding</w:t>
      </w:r>
      <w:proofErr w:type="spellEnd"/>
      <w:r>
        <w:rPr>
          <w:bCs/>
        </w:rPr>
        <w:t>) (MODENESI ET Al., 2007)</w:t>
      </w:r>
      <w:r w:rsidRPr="00200424">
        <w:rPr>
          <w:bCs/>
        </w:rPr>
        <w:t>, observou-se que esta atividade se tornava o gargalo da operação. Observando as características particulares do processo, verificou-se que a atuação nos procedimentos de execução da soldagem poderia reduzir seu tempo se execução, mantendo-se a confiabilidade e qualidade da emenda.</w:t>
      </w:r>
    </w:p>
    <w:p w:rsidR="008E19C3" w:rsidRPr="005F013A" w:rsidRDefault="008E19C3" w:rsidP="005F013A">
      <w:pPr>
        <w:tabs>
          <w:tab w:val="left" w:pos="567"/>
        </w:tabs>
        <w:jc w:val="both"/>
      </w:pPr>
    </w:p>
    <w:p w:rsidR="00A45C75" w:rsidRPr="005F013A" w:rsidRDefault="00785984" w:rsidP="005F013A">
      <w:pPr>
        <w:jc w:val="both"/>
        <w:rPr>
          <w:b/>
        </w:rPr>
      </w:pPr>
      <w:r>
        <w:rPr>
          <w:b/>
          <w:smallCaps/>
        </w:rPr>
        <w:t>2</w:t>
      </w:r>
      <w:r w:rsidR="00A45C75" w:rsidRPr="005F013A">
        <w:rPr>
          <w:b/>
          <w:smallCaps/>
        </w:rPr>
        <w:t>.</w:t>
      </w:r>
      <w:r w:rsidR="001861AB" w:rsidRPr="005F013A">
        <w:rPr>
          <w:b/>
          <w:smallCaps/>
        </w:rPr>
        <w:t xml:space="preserve"> </w:t>
      </w:r>
      <w:r w:rsidR="00A45C75" w:rsidRPr="005F013A">
        <w:rPr>
          <w:b/>
          <w:smallCaps/>
        </w:rPr>
        <w:t xml:space="preserve"> </w:t>
      </w:r>
      <w:r w:rsidR="001861AB" w:rsidRPr="005F013A">
        <w:rPr>
          <w:b/>
        </w:rPr>
        <w:t xml:space="preserve">Materiais e </w:t>
      </w:r>
      <w:r w:rsidR="000C62EE">
        <w:rPr>
          <w:b/>
        </w:rPr>
        <w:t>m</w:t>
      </w:r>
      <w:r w:rsidR="00A45C75" w:rsidRPr="005F013A">
        <w:rPr>
          <w:b/>
        </w:rPr>
        <w:t>étodo</w:t>
      </w:r>
      <w:r w:rsidR="00DE3883">
        <w:rPr>
          <w:b/>
        </w:rPr>
        <w:t>s</w:t>
      </w:r>
    </w:p>
    <w:p w:rsidR="00575A9C" w:rsidRPr="005F013A" w:rsidRDefault="00575A9C" w:rsidP="005F013A">
      <w:pPr>
        <w:jc w:val="both"/>
        <w:rPr>
          <w:b/>
        </w:rPr>
      </w:pPr>
    </w:p>
    <w:p w:rsidR="00785984" w:rsidRDefault="00785984" w:rsidP="005F013A">
      <w:pPr>
        <w:tabs>
          <w:tab w:val="left" w:pos="284"/>
          <w:tab w:val="left" w:pos="1134"/>
        </w:tabs>
        <w:jc w:val="both"/>
        <w:rPr>
          <w:b/>
          <w:bCs/>
        </w:rPr>
      </w:pPr>
      <w:r w:rsidRPr="00785984">
        <w:rPr>
          <w:b/>
          <w:bCs/>
        </w:rPr>
        <w:t xml:space="preserve">2.1 União de Vigas para formar Estacas Metálicas </w:t>
      </w:r>
    </w:p>
    <w:p w:rsidR="00785984" w:rsidRDefault="00785984" w:rsidP="005F013A">
      <w:pPr>
        <w:tabs>
          <w:tab w:val="left" w:pos="284"/>
          <w:tab w:val="left" w:pos="1134"/>
        </w:tabs>
        <w:jc w:val="both"/>
      </w:pPr>
    </w:p>
    <w:p w:rsidR="00785984" w:rsidRPr="00785984" w:rsidRDefault="00785984" w:rsidP="00785984">
      <w:pPr>
        <w:shd w:val="clear" w:color="auto" w:fill="FFFFFF"/>
        <w:ind w:firstLine="708"/>
        <w:jc w:val="both"/>
        <w:textAlignment w:val="top"/>
        <w:rPr>
          <w:bCs/>
        </w:rPr>
      </w:pPr>
      <w:r w:rsidRPr="00785984">
        <w:rPr>
          <w:bCs/>
        </w:rPr>
        <w:t xml:space="preserve">A execução das uniões soldadas entre os perfis constituintes das estacas, pelo uso de talas soldadas a estes perfis (Fig. 2), é normatizado e deve ser dimensionado em conformidade com as condições de uso do material na obra. A norma NBR6122 [1] estabelece que as normas aplicáveis a esta operação são: NBR 8800 [4] e AWS D1.1 [5]. </w:t>
      </w:r>
      <w:r w:rsidRPr="00785984">
        <w:rPr>
          <w:bCs/>
        </w:rPr>
        <w:lastRenderedPageBreak/>
        <w:t>Em resumo, estas normas exigem que as soldas das emendas com talas devam atender aos seguintes requisitos:</w:t>
      </w:r>
    </w:p>
    <w:p w:rsidR="00785984" w:rsidRPr="00785984" w:rsidRDefault="00785984" w:rsidP="00785984">
      <w:pPr>
        <w:pStyle w:val="PargrafodaLista"/>
        <w:numPr>
          <w:ilvl w:val="0"/>
          <w:numId w:val="7"/>
        </w:numPr>
        <w:spacing w:after="0" w:line="240" w:lineRule="auto"/>
        <w:jc w:val="both"/>
        <w:rPr>
          <w:rFonts w:ascii="Arial" w:hAnsi="Arial" w:cs="Arial"/>
          <w:sz w:val="24"/>
          <w:szCs w:val="24"/>
        </w:rPr>
      </w:pPr>
      <w:proofErr w:type="gramStart"/>
      <w:r w:rsidRPr="00785984">
        <w:rPr>
          <w:rFonts w:ascii="Arial" w:hAnsi="Arial" w:cs="Arial"/>
          <w:sz w:val="24"/>
          <w:szCs w:val="24"/>
        </w:rPr>
        <w:t>seguir</w:t>
      </w:r>
      <w:proofErr w:type="gramEnd"/>
      <w:r w:rsidRPr="00785984">
        <w:rPr>
          <w:rFonts w:ascii="Arial" w:hAnsi="Arial" w:cs="Arial"/>
          <w:sz w:val="24"/>
          <w:szCs w:val="24"/>
        </w:rPr>
        <w:t xml:space="preserve"> os preceitos do código AWS D1.1 </w:t>
      </w:r>
      <w:r>
        <w:rPr>
          <w:rFonts w:ascii="Arial" w:hAnsi="Arial" w:cs="Arial"/>
          <w:sz w:val="24"/>
          <w:szCs w:val="24"/>
        </w:rPr>
        <w:t>(2010)</w:t>
      </w:r>
      <w:r w:rsidRPr="00785984">
        <w:rPr>
          <w:rFonts w:ascii="Arial" w:hAnsi="Arial" w:cs="Arial"/>
          <w:sz w:val="24"/>
          <w:szCs w:val="24"/>
        </w:rPr>
        <w:t>;</w:t>
      </w:r>
    </w:p>
    <w:p w:rsidR="00785984" w:rsidRPr="00785984" w:rsidRDefault="00785984" w:rsidP="00785984">
      <w:pPr>
        <w:pStyle w:val="PargrafodaLista"/>
        <w:numPr>
          <w:ilvl w:val="0"/>
          <w:numId w:val="7"/>
        </w:numPr>
        <w:spacing w:after="0" w:line="240" w:lineRule="auto"/>
        <w:jc w:val="both"/>
        <w:rPr>
          <w:rFonts w:ascii="Arial" w:hAnsi="Arial" w:cs="Arial"/>
          <w:sz w:val="24"/>
          <w:szCs w:val="24"/>
        </w:rPr>
      </w:pPr>
      <w:proofErr w:type="gramStart"/>
      <w:r w:rsidRPr="00785984">
        <w:rPr>
          <w:rFonts w:ascii="Arial" w:hAnsi="Arial" w:cs="Arial"/>
          <w:sz w:val="24"/>
          <w:szCs w:val="24"/>
        </w:rPr>
        <w:t>apresentar</w:t>
      </w:r>
      <w:proofErr w:type="gramEnd"/>
      <w:r w:rsidRPr="00785984">
        <w:rPr>
          <w:rFonts w:ascii="Arial" w:hAnsi="Arial" w:cs="Arial"/>
          <w:sz w:val="24"/>
          <w:szCs w:val="24"/>
        </w:rPr>
        <w:t xml:space="preserve"> qualidade adequada, conforme AWS D1.1 </w:t>
      </w:r>
      <w:r>
        <w:rPr>
          <w:rFonts w:ascii="Arial" w:hAnsi="Arial" w:cs="Arial"/>
          <w:sz w:val="24"/>
          <w:szCs w:val="24"/>
        </w:rPr>
        <w:t>(2010);</w:t>
      </w:r>
    </w:p>
    <w:p w:rsidR="00785984" w:rsidRPr="00785984" w:rsidRDefault="00785984" w:rsidP="00785984">
      <w:pPr>
        <w:pStyle w:val="PargrafodaLista"/>
        <w:numPr>
          <w:ilvl w:val="0"/>
          <w:numId w:val="7"/>
        </w:numPr>
        <w:spacing w:after="0" w:line="240" w:lineRule="auto"/>
        <w:jc w:val="both"/>
        <w:rPr>
          <w:rFonts w:ascii="Arial" w:hAnsi="Arial" w:cs="Arial"/>
          <w:sz w:val="24"/>
          <w:szCs w:val="24"/>
        </w:rPr>
      </w:pPr>
      <w:proofErr w:type="gramStart"/>
      <w:r w:rsidRPr="00785984">
        <w:rPr>
          <w:rFonts w:ascii="Arial" w:hAnsi="Arial" w:cs="Arial"/>
          <w:sz w:val="24"/>
          <w:szCs w:val="24"/>
        </w:rPr>
        <w:t>resistir</w:t>
      </w:r>
      <w:proofErr w:type="gramEnd"/>
      <w:r w:rsidRPr="00785984">
        <w:rPr>
          <w:rFonts w:ascii="Arial" w:hAnsi="Arial" w:cs="Arial"/>
          <w:sz w:val="24"/>
          <w:szCs w:val="24"/>
        </w:rPr>
        <w:t xml:space="preserve"> aos esforços de uso normal das estacas, conforme NBR 8800 </w:t>
      </w:r>
      <w:r>
        <w:rPr>
          <w:rFonts w:ascii="Arial" w:hAnsi="Arial" w:cs="Arial"/>
          <w:sz w:val="24"/>
          <w:szCs w:val="24"/>
        </w:rPr>
        <w:t>(2008)</w:t>
      </w:r>
      <w:r w:rsidRPr="00785984">
        <w:rPr>
          <w:rFonts w:ascii="Arial" w:hAnsi="Arial" w:cs="Arial"/>
          <w:sz w:val="24"/>
          <w:szCs w:val="24"/>
        </w:rPr>
        <w:t>;</w:t>
      </w:r>
    </w:p>
    <w:p w:rsidR="00785984" w:rsidRPr="00785984" w:rsidRDefault="00785984" w:rsidP="00785984">
      <w:pPr>
        <w:pStyle w:val="PargrafodaLista"/>
        <w:numPr>
          <w:ilvl w:val="0"/>
          <w:numId w:val="7"/>
        </w:numPr>
        <w:spacing w:after="0" w:line="240" w:lineRule="auto"/>
        <w:jc w:val="both"/>
        <w:rPr>
          <w:rFonts w:ascii="Arial" w:hAnsi="Arial" w:cs="Arial"/>
          <w:sz w:val="24"/>
          <w:szCs w:val="24"/>
        </w:rPr>
      </w:pPr>
      <w:proofErr w:type="gramStart"/>
      <w:r w:rsidRPr="00785984">
        <w:rPr>
          <w:rFonts w:ascii="Arial" w:hAnsi="Arial" w:cs="Arial"/>
          <w:sz w:val="24"/>
          <w:szCs w:val="24"/>
        </w:rPr>
        <w:t>resistir</w:t>
      </w:r>
      <w:proofErr w:type="gramEnd"/>
      <w:r w:rsidRPr="00785984">
        <w:rPr>
          <w:rFonts w:ascii="Arial" w:hAnsi="Arial" w:cs="Arial"/>
          <w:sz w:val="24"/>
          <w:szCs w:val="24"/>
        </w:rPr>
        <w:t xml:space="preserve"> aos esforços do manuse</w:t>
      </w:r>
      <w:r>
        <w:rPr>
          <w:rFonts w:ascii="Arial" w:hAnsi="Arial" w:cs="Arial"/>
          <w:sz w:val="24"/>
          <w:szCs w:val="24"/>
        </w:rPr>
        <w:t>io/cravação, conforme AWS D1.1 (2010)</w:t>
      </w:r>
      <w:r w:rsidRPr="00785984">
        <w:rPr>
          <w:rFonts w:ascii="Arial" w:hAnsi="Arial" w:cs="Arial"/>
          <w:sz w:val="24"/>
          <w:szCs w:val="24"/>
        </w:rPr>
        <w:t>.</w:t>
      </w:r>
    </w:p>
    <w:p w:rsidR="00785984" w:rsidRPr="00415976" w:rsidRDefault="00785984" w:rsidP="00415976">
      <w:pPr>
        <w:shd w:val="clear" w:color="auto" w:fill="FFFFFF"/>
        <w:ind w:firstLine="708"/>
        <w:jc w:val="both"/>
        <w:textAlignment w:val="top"/>
        <w:rPr>
          <w:bCs/>
        </w:rPr>
      </w:pPr>
    </w:p>
    <w:p w:rsidR="00785984" w:rsidRPr="00415976" w:rsidRDefault="00415976" w:rsidP="00415976">
      <w:pPr>
        <w:shd w:val="clear" w:color="auto" w:fill="FFFFFF"/>
        <w:ind w:firstLine="708"/>
        <w:jc w:val="both"/>
        <w:textAlignment w:val="top"/>
        <w:rPr>
          <w:bCs/>
        </w:rPr>
      </w:pPr>
      <w:r w:rsidRPr="00415976">
        <w:rPr>
          <w:bCs/>
        </w:rPr>
        <w:t>Para o atendimento destas condições, as juntas soldadas devem ser executadas, conforme exemplificado pelo projeto da junta, calculado por um engenheiro mecânico, e pelas condições mandatórias do código AWS D1.1</w:t>
      </w:r>
      <w:r>
        <w:rPr>
          <w:bCs/>
        </w:rPr>
        <w:t xml:space="preserve"> (2010)</w:t>
      </w:r>
      <w:r w:rsidRPr="00415976">
        <w:rPr>
          <w:bCs/>
        </w:rPr>
        <w:t>, que exige:</w:t>
      </w:r>
    </w:p>
    <w:p w:rsidR="00415976" w:rsidRPr="00415976" w:rsidRDefault="00415976" w:rsidP="00415976">
      <w:pPr>
        <w:pStyle w:val="PargrafodaLista"/>
        <w:numPr>
          <w:ilvl w:val="0"/>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evidência</w:t>
      </w:r>
      <w:proofErr w:type="gramEnd"/>
      <w:r w:rsidRPr="00415976">
        <w:rPr>
          <w:rFonts w:ascii="Arial" w:hAnsi="Arial" w:cs="Arial"/>
          <w:bCs/>
          <w:sz w:val="24"/>
          <w:szCs w:val="24"/>
        </w:rPr>
        <w:t xml:space="preserve"> de qualificação de procedimento de soldagem (item 4.2.1);</w:t>
      </w:r>
    </w:p>
    <w:p w:rsidR="00415976" w:rsidRPr="00415976" w:rsidRDefault="00415976" w:rsidP="00415976">
      <w:pPr>
        <w:pStyle w:val="PargrafodaLista"/>
        <w:numPr>
          <w:ilvl w:val="0"/>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aplicação</w:t>
      </w:r>
      <w:proofErr w:type="gramEnd"/>
      <w:r w:rsidRPr="00415976">
        <w:rPr>
          <w:rFonts w:ascii="Arial" w:hAnsi="Arial" w:cs="Arial"/>
          <w:bCs/>
          <w:sz w:val="24"/>
          <w:szCs w:val="24"/>
        </w:rPr>
        <w:t xml:space="preserve"> de teste de qualificação para os soldadores (item 4.2.2);</w:t>
      </w:r>
    </w:p>
    <w:p w:rsidR="00415976" w:rsidRPr="00415976" w:rsidRDefault="00415976" w:rsidP="00415976">
      <w:pPr>
        <w:pStyle w:val="PargrafodaLista"/>
        <w:numPr>
          <w:ilvl w:val="0"/>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armazenamento</w:t>
      </w:r>
      <w:proofErr w:type="gramEnd"/>
      <w:r w:rsidRPr="00415976">
        <w:rPr>
          <w:rFonts w:ascii="Arial" w:hAnsi="Arial" w:cs="Arial"/>
          <w:bCs/>
          <w:sz w:val="24"/>
          <w:szCs w:val="24"/>
        </w:rPr>
        <w:t xml:space="preserve"> adequado dos consumíveis de solda (item 5.3.1.4 e 5.3.1.5); sendo que, para o caso de eletrodos revestidos:</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secagem</w:t>
      </w:r>
      <w:proofErr w:type="gramEnd"/>
      <w:r w:rsidRPr="00415976">
        <w:rPr>
          <w:rFonts w:ascii="Arial" w:hAnsi="Arial" w:cs="Arial"/>
          <w:bCs/>
          <w:sz w:val="24"/>
          <w:szCs w:val="24"/>
        </w:rPr>
        <w:t xml:space="preserve"> inicial/uso de eletrodos de baixo hidrogênio (item 5.3.2.1) em estufa entre 260 e 430°C por no mínimo 2 horas (item 5.3.2.4(1));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ressecamento</w:t>
      </w:r>
      <w:proofErr w:type="gramEnd"/>
      <w:r w:rsidRPr="00415976">
        <w:rPr>
          <w:rFonts w:ascii="Arial" w:hAnsi="Arial" w:cs="Arial"/>
          <w:bCs/>
          <w:sz w:val="24"/>
          <w:szCs w:val="24"/>
        </w:rPr>
        <w:t xml:space="preserve"> de eletrodos expostos à atmosfera por um período além de 4 horas (item 5.3.2.2 e Tabela 5.1);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limitação</w:t>
      </w:r>
      <w:proofErr w:type="gramEnd"/>
      <w:r w:rsidRPr="00415976">
        <w:rPr>
          <w:rFonts w:ascii="Arial" w:hAnsi="Arial" w:cs="Arial"/>
          <w:bCs/>
          <w:sz w:val="24"/>
          <w:szCs w:val="24"/>
        </w:rPr>
        <w:t xml:space="preserve"> de apenas um ressecamento (item 5.3.2.1).</w:t>
      </w:r>
    </w:p>
    <w:p w:rsidR="00415976" w:rsidRPr="00415976" w:rsidRDefault="00415976" w:rsidP="00415976">
      <w:pPr>
        <w:pStyle w:val="PargrafodaLista"/>
        <w:numPr>
          <w:ilvl w:val="0"/>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limitação</w:t>
      </w:r>
      <w:proofErr w:type="gramEnd"/>
      <w:r w:rsidRPr="00415976">
        <w:rPr>
          <w:rFonts w:ascii="Arial" w:hAnsi="Arial" w:cs="Arial"/>
          <w:bCs/>
          <w:sz w:val="24"/>
          <w:szCs w:val="24"/>
        </w:rPr>
        <w:t xml:space="preserve"> na quantidade de intensidade de descontinuidades/defeitos de solda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trincas</w:t>
      </w:r>
      <w:proofErr w:type="gramEnd"/>
      <w:r w:rsidRPr="00415976">
        <w:rPr>
          <w:rFonts w:ascii="Arial" w:hAnsi="Arial" w:cs="Arial"/>
          <w:bCs/>
          <w:sz w:val="24"/>
          <w:szCs w:val="24"/>
        </w:rPr>
        <w:t xml:space="preserve"> (item 1 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falta</w:t>
      </w:r>
      <w:proofErr w:type="gramEnd"/>
      <w:r w:rsidRPr="00415976">
        <w:rPr>
          <w:rFonts w:ascii="Arial" w:hAnsi="Arial" w:cs="Arial"/>
          <w:bCs/>
          <w:sz w:val="24"/>
          <w:szCs w:val="24"/>
        </w:rPr>
        <w:t xml:space="preserve"> de fusão entre metal base e solda (item 2 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geometria</w:t>
      </w:r>
      <w:proofErr w:type="gramEnd"/>
      <w:r w:rsidRPr="00415976">
        <w:rPr>
          <w:rFonts w:ascii="Arial" w:hAnsi="Arial" w:cs="Arial"/>
          <w:bCs/>
          <w:sz w:val="24"/>
          <w:szCs w:val="24"/>
        </w:rPr>
        <w:t xml:space="preserve"> (perfil) do depósito de solda (item 4 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dimensões</w:t>
      </w:r>
      <w:proofErr w:type="gramEnd"/>
      <w:r w:rsidRPr="00415976">
        <w:rPr>
          <w:rFonts w:ascii="Arial" w:hAnsi="Arial" w:cs="Arial"/>
          <w:bCs/>
          <w:sz w:val="24"/>
          <w:szCs w:val="24"/>
        </w:rPr>
        <w:t xml:space="preserve"> do depósito de solda (item 6 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r w:rsidRPr="00415976">
        <w:rPr>
          <w:rFonts w:ascii="Arial" w:hAnsi="Arial" w:cs="Arial"/>
          <w:bCs/>
          <w:sz w:val="24"/>
          <w:szCs w:val="24"/>
        </w:rPr>
        <w:t>‘</w:t>
      </w:r>
      <w:proofErr w:type="gramStart"/>
      <w:r w:rsidRPr="00415976">
        <w:rPr>
          <w:rFonts w:ascii="Arial" w:hAnsi="Arial" w:cs="Arial"/>
          <w:bCs/>
          <w:sz w:val="24"/>
          <w:szCs w:val="24"/>
        </w:rPr>
        <w:t>mordeduras</w:t>
      </w:r>
      <w:proofErr w:type="gramEnd"/>
      <w:r w:rsidRPr="00415976">
        <w:rPr>
          <w:rFonts w:ascii="Arial" w:hAnsi="Arial" w:cs="Arial"/>
          <w:bCs/>
          <w:sz w:val="24"/>
          <w:szCs w:val="24"/>
        </w:rPr>
        <w:t>’ na solda depositada (item 7(a) da Tabela 6.1);</w:t>
      </w:r>
    </w:p>
    <w:p w:rsidR="00415976" w:rsidRPr="00415976" w:rsidRDefault="00415976" w:rsidP="00415976">
      <w:pPr>
        <w:pStyle w:val="PargrafodaLista"/>
        <w:numPr>
          <w:ilvl w:val="1"/>
          <w:numId w:val="8"/>
        </w:numPr>
        <w:suppressAutoHyphens/>
        <w:spacing w:after="0" w:line="240" w:lineRule="auto"/>
        <w:jc w:val="both"/>
        <w:rPr>
          <w:rFonts w:ascii="Arial" w:hAnsi="Arial" w:cs="Arial"/>
          <w:bCs/>
          <w:sz w:val="24"/>
          <w:szCs w:val="24"/>
        </w:rPr>
      </w:pPr>
      <w:proofErr w:type="gramStart"/>
      <w:r w:rsidRPr="00415976">
        <w:rPr>
          <w:rFonts w:ascii="Arial" w:hAnsi="Arial" w:cs="Arial"/>
          <w:bCs/>
          <w:sz w:val="24"/>
          <w:szCs w:val="24"/>
        </w:rPr>
        <w:t>porosidades</w:t>
      </w:r>
      <w:proofErr w:type="gramEnd"/>
      <w:r w:rsidRPr="00415976">
        <w:rPr>
          <w:rFonts w:ascii="Arial" w:hAnsi="Arial" w:cs="Arial"/>
          <w:bCs/>
          <w:sz w:val="24"/>
          <w:szCs w:val="24"/>
        </w:rPr>
        <w:t xml:space="preserve"> na solda (item 8(a) da Tabela 6.1).</w:t>
      </w:r>
    </w:p>
    <w:p w:rsidR="00785984" w:rsidRPr="00415976" w:rsidRDefault="00785984" w:rsidP="00415976">
      <w:pPr>
        <w:shd w:val="clear" w:color="auto" w:fill="FFFFFF"/>
        <w:ind w:firstLine="708"/>
        <w:jc w:val="both"/>
        <w:textAlignment w:val="top"/>
        <w:rPr>
          <w:bCs/>
        </w:rPr>
      </w:pPr>
    </w:p>
    <w:p w:rsidR="00785984" w:rsidRPr="00415976" w:rsidRDefault="00415976" w:rsidP="00415976">
      <w:pPr>
        <w:shd w:val="clear" w:color="auto" w:fill="FFFFFF"/>
        <w:ind w:firstLine="708"/>
        <w:jc w:val="both"/>
        <w:textAlignment w:val="top"/>
        <w:rPr>
          <w:bCs/>
        </w:rPr>
      </w:pPr>
      <w:r w:rsidRPr="00415976">
        <w:rPr>
          <w:bCs/>
        </w:rPr>
        <w:t>Conforme foi explicitado neste item, várias condições devem ser obedecidas para obter uma junta soldada, entre as vigas de obras de estaqueamento profundo. Nem todas as condições descritas são de pronto atendimento e algumas necessitam de uma infraestrutura mínima para serem efetivamente atendidas. Também é importante salientar que o material empregado nestas vigas, o aço ASTM A572 Gr.50</w:t>
      </w:r>
      <w:r>
        <w:rPr>
          <w:bCs/>
        </w:rPr>
        <w:t xml:space="preserve"> (2015)</w:t>
      </w:r>
      <w:r w:rsidRPr="00415976">
        <w:rPr>
          <w:bCs/>
        </w:rPr>
        <w:t>, é considerado de alta resistência mecânica conforme a norma NBR 6215</w:t>
      </w:r>
      <w:r>
        <w:rPr>
          <w:bCs/>
        </w:rPr>
        <w:t xml:space="preserve"> (2011)</w:t>
      </w:r>
      <w:r w:rsidRPr="00415976">
        <w:rPr>
          <w:bCs/>
        </w:rPr>
        <w:t>.</w:t>
      </w:r>
    </w:p>
    <w:p w:rsidR="00785984" w:rsidRDefault="00785984" w:rsidP="00415976">
      <w:pPr>
        <w:shd w:val="clear" w:color="auto" w:fill="FFFFFF"/>
        <w:ind w:firstLine="708"/>
        <w:jc w:val="both"/>
        <w:textAlignment w:val="top"/>
        <w:rPr>
          <w:bCs/>
        </w:rPr>
      </w:pPr>
    </w:p>
    <w:p w:rsidR="00415976" w:rsidRDefault="00415976" w:rsidP="00415976">
      <w:pPr>
        <w:tabs>
          <w:tab w:val="left" w:pos="284"/>
          <w:tab w:val="left" w:pos="1134"/>
        </w:tabs>
        <w:jc w:val="both"/>
        <w:rPr>
          <w:b/>
          <w:bCs/>
        </w:rPr>
      </w:pPr>
      <w:r w:rsidRPr="00415976">
        <w:rPr>
          <w:b/>
          <w:bCs/>
        </w:rPr>
        <w:t>2.2 Processo de União via Eletrodo Revestido (SMAW)</w:t>
      </w:r>
    </w:p>
    <w:p w:rsidR="00415976" w:rsidRDefault="00415976" w:rsidP="00415976">
      <w:pPr>
        <w:shd w:val="clear" w:color="auto" w:fill="FFFFFF"/>
        <w:ind w:firstLine="708"/>
        <w:jc w:val="both"/>
        <w:textAlignment w:val="top"/>
        <w:rPr>
          <w:bCs/>
        </w:rPr>
      </w:pPr>
    </w:p>
    <w:p w:rsidR="00415976" w:rsidRDefault="00415976" w:rsidP="00415976">
      <w:pPr>
        <w:shd w:val="clear" w:color="auto" w:fill="FFFFFF"/>
        <w:ind w:firstLine="708"/>
        <w:jc w:val="both"/>
        <w:textAlignment w:val="top"/>
        <w:rPr>
          <w:bCs/>
        </w:rPr>
      </w:pPr>
      <w:r w:rsidRPr="00415976">
        <w:rPr>
          <w:bCs/>
        </w:rPr>
        <w:t>A soldagem a arco elétrico com eletrodo revestido (</w:t>
      </w:r>
      <w:proofErr w:type="spellStart"/>
      <w:r w:rsidRPr="00415976">
        <w:rPr>
          <w:bCs/>
        </w:rPr>
        <w:t>Shielded</w:t>
      </w:r>
      <w:proofErr w:type="spellEnd"/>
      <w:r w:rsidRPr="00415976">
        <w:rPr>
          <w:bCs/>
        </w:rPr>
        <w:t xml:space="preserve"> Metal </w:t>
      </w:r>
      <w:proofErr w:type="spellStart"/>
      <w:r w:rsidRPr="00415976">
        <w:rPr>
          <w:bCs/>
        </w:rPr>
        <w:t>Arc</w:t>
      </w:r>
      <w:proofErr w:type="spellEnd"/>
      <w:r w:rsidRPr="00415976">
        <w:rPr>
          <w:bCs/>
        </w:rPr>
        <w:t xml:space="preserve"> </w:t>
      </w:r>
      <w:proofErr w:type="spellStart"/>
      <w:r w:rsidRPr="00415976">
        <w:rPr>
          <w:bCs/>
        </w:rPr>
        <w:t>Welding</w:t>
      </w:r>
      <w:proofErr w:type="spellEnd"/>
      <w:r w:rsidRPr="00415976">
        <w:rPr>
          <w:bCs/>
        </w:rPr>
        <w:t xml:space="preserve"> – SMAW) é o processo de soldagem mais empregado no país. Isso ocorre pela sua grande versatilidade, baixo custo de operação, simplicidade dos equipamentos e pela possibilidade de uso em locais de difícil acesso ou sujeitos a ventos</w:t>
      </w:r>
      <w:r>
        <w:rPr>
          <w:bCs/>
        </w:rPr>
        <w:t xml:space="preserve"> (MODENESI ET AL., 2007)</w:t>
      </w:r>
      <w:r w:rsidRPr="00415976">
        <w:rPr>
          <w:bCs/>
        </w:rPr>
        <w:t>.</w:t>
      </w:r>
    </w:p>
    <w:p w:rsidR="00415976" w:rsidRDefault="00415976" w:rsidP="00415976">
      <w:pPr>
        <w:shd w:val="clear" w:color="auto" w:fill="FFFFFF"/>
        <w:ind w:firstLine="708"/>
        <w:jc w:val="both"/>
        <w:textAlignment w:val="top"/>
        <w:rPr>
          <w:bCs/>
        </w:rPr>
      </w:pPr>
      <w:r w:rsidRPr="00415976">
        <w:rPr>
          <w:bCs/>
        </w:rPr>
        <w:t xml:space="preserve">Porém o processo SMAW apresenta algumas desvantagens, tais como: baixa produtividade, necessidade de cuidados especiais no tratamento e manuseio dos consumíveis (eletrodos revestidos) e o grande volume de gases e fumos gerados durante a soldagem. Conforme informações de um dos grandes fabricantes de consumíveis atuante no país, os eletrodos revestidos E7018 </w:t>
      </w:r>
      <w:r>
        <w:rPr>
          <w:bCs/>
        </w:rPr>
        <w:t>(AWS D1.1: 2010)</w:t>
      </w:r>
      <w:r w:rsidRPr="00415976">
        <w:rPr>
          <w:bCs/>
        </w:rPr>
        <w:t xml:space="preserve">, empregados para o </w:t>
      </w:r>
      <w:r w:rsidRPr="00415976">
        <w:rPr>
          <w:bCs/>
        </w:rPr>
        <w:lastRenderedPageBreak/>
        <w:t xml:space="preserve">aço ASTM A572 Gr.50 </w:t>
      </w:r>
      <w:r>
        <w:rPr>
          <w:bCs/>
        </w:rPr>
        <w:t>(2015)</w:t>
      </w:r>
      <w:r w:rsidRPr="00415976">
        <w:rPr>
          <w:bCs/>
        </w:rPr>
        <w:t xml:space="preserve">, apresentam as seguintes características </w:t>
      </w:r>
      <w:r>
        <w:rPr>
          <w:bCs/>
        </w:rPr>
        <w:t xml:space="preserve">(ASME Sec. </w:t>
      </w:r>
      <w:proofErr w:type="gramStart"/>
      <w:r>
        <w:rPr>
          <w:bCs/>
        </w:rPr>
        <w:t>II ,</w:t>
      </w:r>
      <w:proofErr w:type="spellStart"/>
      <w:r>
        <w:rPr>
          <w:bCs/>
        </w:rPr>
        <w:t>Part</w:t>
      </w:r>
      <w:proofErr w:type="spellEnd"/>
      <w:proofErr w:type="gramEnd"/>
      <w:r>
        <w:rPr>
          <w:bCs/>
        </w:rPr>
        <w:t xml:space="preserve"> C, 2010):</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são</w:t>
      </w:r>
      <w:proofErr w:type="gramEnd"/>
      <w:r w:rsidRPr="00415976">
        <w:rPr>
          <w:rFonts w:ascii="Arial" w:hAnsi="Arial" w:cs="Arial"/>
          <w:sz w:val="24"/>
          <w:szCs w:val="24"/>
        </w:rPr>
        <w:t xml:space="preserve"> a versão mais moderna do eletrodo de baixo hidrogênio;</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a</w:t>
      </w:r>
      <w:proofErr w:type="gramEnd"/>
      <w:r w:rsidRPr="00415976">
        <w:rPr>
          <w:rFonts w:ascii="Arial" w:hAnsi="Arial" w:cs="Arial"/>
          <w:sz w:val="24"/>
          <w:szCs w:val="24"/>
        </w:rPr>
        <w:t xml:space="preserve"> quantidade considerável de pó de ferro no revestimento e também uma quantidade de revestimento bem maior permitem que esses eletrodos sejam aplicados sob correntes de soldagem mais altas que as empregadas com outros eletrodos, como o E7016 [6];</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o</w:t>
      </w:r>
      <w:proofErr w:type="gramEnd"/>
      <w:r w:rsidRPr="00415976">
        <w:rPr>
          <w:rFonts w:ascii="Arial" w:hAnsi="Arial" w:cs="Arial"/>
          <w:sz w:val="24"/>
          <w:szCs w:val="24"/>
        </w:rPr>
        <w:t xml:space="preserve"> arco mais suave e a facilidade de soldagem do eletrodo E7018 [6] tornam-no o favorito dos soldadores;</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correntes</w:t>
      </w:r>
      <w:proofErr w:type="gramEnd"/>
      <w:r w:rsidRPr="00415976">
        <w:rPr>
          <w:rFonts w:ascii="Arial" w:hAnsi="Arial" w:cs="Arial"/>
          <w:sz w:val="24"/>
          <w:szCs w:val="24"/>
        </w:rPr>
        <w:t xml:space="preserve"> de soldagem relativamente mais altas e adições de pó de ferro fundindo no metal de solda para aumentar a taxa e eficiência de deposição;</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o</w:t>
      </w:r>
      <w:proofErr w:type="gramEnd"/>
      <w:r w:rsidRPr="00415976">
        <w:rPr>
          <w:rFonts w:ascii="Arial" w:hAnsi="Arial" w:cs="Arial"/>
          <w:sz w:val="24"/>
          <w:szCs w:val="24"/>
        </w:rPr>
        <w:t xml:space="preserve"> eletrodo básico E7018 [6] deposita o metal de solda de melhor qualidade para a soldagem de aços de baixo carbono;</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sua</w:t>
      </w:r>
      <w:proofErr w:type="gramEnd"/>
      <w:r w:rsidRPr="00415976">
        <w:rPr>
          <w:rFonts w:ascii="Arial" w:hAnsi="Arial" w:cs="Arial"/>
          <w:sz w:val="24"/>
          <w:szCs w:val="24"/>
        </w:rPr>
        <w:t xml:space="preserve"> maior desvantagem é que ele precisa ser mantido seco, eletrodos que absorveram umidade devido à exposição à atmosfera ou a outras fontes de umidade depositam metal de solda com porosidade;</w:t>
      </w:r>
    </w:p>
    <w:p w:rsidR="00415976" w:rsidRPr="00415976" w:rsidRDefault="00415976" w:rsidP="00415976">
      <w:pPr>
        <w:pStyle w:val="PargrafodaLista"/>
        <w:numPr>
          <w:ilvl w:val="0"/>
          <w:numId w:val="9"/>
        </w:numPr>
        <w:spacing w:after="0" w:line="240" w:lineRule="auto"/>
        <w:rPr>
          <w:rFonts w:ascii="Arial" w:hAnsi="Arial" w:cs="Arial"/>
          <w:sz w:val="24"/>
          <w:szCs w:val="24"/>
        </w:rPr>
      </w:pPr>
      <w:proofErr w:type="gramStart"/>
      <w:r w:rsidRPr="00415976">
        <w:rPr>
          <w:rFonts w:ascii="Arial" w:hAnsi="Arial" w:cs="Arial"/>
          <w:sz w:val="24"/>
          <w:szCs w:val="24"/>
        </w:rPr>
        <w:t>os</w:t>
      </w:r>
      <w:proofErr w:type="gramEnd"/>
      <w:r w:rsidRPr="00415976">
        <w:rPr>
          <w:rFonts w:ascii="Arial" w:hAnsi="Arial" w:cs="Arial"/>
          <w:sz w:val="24"/>
          <w:szCs w:val="24"/>
        </w:rPr>
        <w:t xml:space="preserve"> eletrodos E7018 [6] não devem ser aplicados na soldagem de passes de raiz em juntas de topo com abertura para evitar porosidade excessiva.</w:t>
      </w:r>
    </w:p>
    <w:p w:rsidR="00415976" w:rsidRDefault="00415976" w:rsidP="00415976">
      <w:pPr>
        <w:shd w:val="clear" w:color="auto" w:fill="FFFFFF"/>
        <w:ind w:firstLine="708"/>
        <w:jc w:val="both"/>
        <w:textAlignment w:val="top"/>
        <w:rPr>
          <w:bCs/>
        </w:rPr>
      </w:pPr>
    </w:p>
    <w:p w:rsidR="00415976" w:rsidRDefault="00415976" w:rsidP="00415976">
      <w:pPr>
        <w:shd w:val="clear" w:color="auto" w:fill="FFFFFF"/>
        <w:ind w:firstLine="708"/>
        <w:jc w:val="both"/>
        <w:textAlignment w:val="top"/>
        <w:rPr>
          <w:bCs/>
        </w:rPr>
      </w:pPr>
      <w:r>
        <w:rPr>
          <w:bCs/>
        </w:rPr>
        <w:t>As informações do fabricante (FORTES, 2005)</w:t>
      </w:r>
      <w:r w:rsidRPr="00415976">
        <w:rPr>
          <w:bCs/>
        </w:rPr>
        <w:t xml:space="preserve"> reforçam as solicitações obrigatórias do código AWS D1.1/D1.1M </w:t>
      </w:r>
      <w:r>
        <w:rPr>
          <w:bCs/>
        </w:rPr>
        <w:t>(2010)</w:t>
      </w:r>
      <w:r w:rsidRPr="00415976">
        <w:rPr>
          <w:bCs/>
        </w:rPr>
        <w:t>:</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consumíveis</w:t>
      </w:r>
      <w:proofErr w:type="gramEnd"/>
      <w:r w:rsidRPr="00415976">
        <w:rPr>
          <w:rFonts w:ascii="Arial" w:hAnsi="Arial" w:cs="Arial"/>
          <w:sz w:val="24"/>
          <w:szCs w:val="24"/>
        </w:rPr>
        <w:t xml:space="preserve"> de soldagem que tenham sido removidos do pacote original devem ser protegidos e armazenados de tal forma que as propriedades de soldagem não sejam afetadas;</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eletrodos</w:t>
      </w:r>
      <w:proofErr w:type="gramEnd"/>
      <w:r w:rsidRPr="00415976">
        <w:rPr>
          <w:rFonts w:ascii="Arial" w:hAnsi="Arial" w:cs="Arial"/>
          <w:sz w:val="24"/>
          <w:szCs w:val="24"/>
        </w:rPr>
        <w:t xml:space="preserve"> devem estar secos e em condições apropriadas de uso;</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eletrodos</w:t>
      </w:r>
      <w:proofErr w:type="gramEnd"/>
      <w:r w:rsidRPr="00415976">
        <w:rPr>
          <w:rFonts w:ascii="Arial" w:hAnsi="Arial" w:cs="Arial"/>
          <w:sz w:val="24"/>
          <w:szCs w:val="24"/>
        </w:rPr>
        <w:t xml:space="preserve"> que tenham revestimentos de baixo hidrogênio (exemplo E7018 [6]) devem ser adquiridos em contêineres hermeticamente vedados ou devem ser cozidos (secos) adequadamente pelo usuário;</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imediatamente</w:t>
      </w:r>
      <w:proofErr w:type="gramEnd"/>
      <w:r w:rsidRPr="00415976">
        <w:rPr>
          <w:rFonts w:ascii="Arial" w:hAnsi="Arial" w:cs="Arial"/>
          <w:sz w:val="24"/>
          <w:szCs w:val="24"/>
        </w:rPr>
        <w:t xml:space="preserve"> após a abertura do contêiner hermeticamente vedado, os eletrodos devem ser armazenados em fornos mantidos a uma temperatura de pelo menos 250°F [120°C] –isso normalmente é feito através de dispositivos </w:t>
      </w:r>
      <w:proofErr w:type="spellStart"/>
      <w:r w:rsidRPr="00415976">
        <w:rPr>
          <w:rFonts w:ascii="Arial" w:hAnsi="Arial" w:cs="Arial"/>
          <w:sz w:val="24"/>
          <w:szCs w:val="24"/>
        </w:rPr>
        <w:t>semi-portáteis</w:t>
      </w:r>
      <w:proofErr w:type="spellEnd"/>
      <w:r w:rsidRPr="00415976">
        <w:rPr>
          <w:rFonts w:ascii="Arial" w:hAnsi="Arial" w:cs="Arial"/>
          <w:sz w:val="24"/>
          <w:szCs w:val="24"/>
        </w:rPr>
        <w:t xml:space="preserve"> conhecidos como ‘</w:t>
      </w:r>
      <w:proofErr w:type="spellStart"/>
      <w:r w:rsidRPr="00415976">
        <w:rPr>
          <w:rFonts w:ascii="Arial" w:hAnsi="Arial" w:cs="Arial"/>
          <w:sz w:val="24"/>
          <w:szCs w:val="24"/>
        </w:rPr>
        <w:t>coxixos</w:t>
      </w:r>
      <w:proofErr w:type="spellEnd"/>
      <w:r w:rsidRPr="00415976">
        <w:rPr>
          <w:rFonts w:ascii="Arial" w:hAnsi="Arial" w:cs="Arial"/>
          <w:sz w:val="24"/>
          <w:szCs w:val="24"/>
        </w:rPr>
        <w:t>’;</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depois</w:t>
      </w:r>
      <w:proofErr w:type="gramEnd"/>
      <w:r w:rsidRPr="00415976">
        <w:rPr>
          <w:rFonts w:ascii="Arial" w:hAnsi="Arial" w:cs="Arial"/>
          <w:sz w:val="24"/>
          <w:szCs w:val="24"/>
        </w:rPr>
        <w:t xml:space="preserve"> que contêineres dos eletrodos são abertos ou após eletrodos serem removidos de fornos de cozimento ou armazenamento, a exposição do eletrodo à atmosfera não deve exceder 4 horas;</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eletrodos</w:t>
      </w:r>
      <w:proofErr w:type="gramEnd"/>
      <w:r w:rsidRPr="00415976">
        <w:rPr>
          <w:rFonts w:ascii="Arial" w:hAnsi="Arial" w:cs="Arial"/>
          <w:sz w:val="24"/>
          <w:szCs w:val="24"/>
        </w:rPr>
        <w:t xml:space="preserve"> devem ser recozidos (ressecados) não mais que uma vez;</w:t>
      </w:r>
    </w:p>
    <w:p w:rsidR="00415976" w:rsidRPr="00415976" w:rsidRDefault="00415976" w:rsidP="00415976">
      <w:pPr>
        <w:pStyle w:val="PargrafodaLista"/>
        <w:numPr>
          <w:ilvl w:val="0"/>
          <w:numId w:val="10"/>
        </w:numPr>
        <w:spacing w:after="0" w:line="240" w:lineRule="auto"/>
        <w:rPr>
          <w:rFonts w:ascii="Arial" w:hAnsi="Arial" w:cs="Arial"/>
          <w:sz w:val="24"/>
          <w:szCs w:val="24"/>
        </w:rPr>
      </w:pPr>
      <w:proofErr w:type="gramStart"/>
      <w:r w:rsidRPr="00415976">
        <w:rPr>
          <w:rFonts w:ascii="Arial" w:hAnsi="Arial" w:cs="Arial"/>
          <w:sz w:val="24"/>
          <w:szCs w:val="24"/>
        </w:rPr>
        <w:t>eletrodos</w:t>
      </w:r>
      <w:proofErr w:type="gramEnd"/>
      <w:r w:rsidRPr="00415976">
        <w:rPr>
          <w:rFonts w:ascii="Arial" w:hAnsi="Arial" w:cs="Arial"/>
          <w:sz w:val="24"/>
          <w:szCs w:val="24"/>
        </w:rPr>
        <w:t xml:space="preserve"> que tenham sido molhados não devem ser usados.</w:t>
      </w:r>
    </w:p>
    <w:p w:rsidR="00415976" w:rsidRPr="00415976" w:rsidRDefault="00415976" w:rsidP="00415976">
      <w:pPr>
        <w:shd w:val="clear" w:color="auto" w:fill="FFFFFF"/>
        <w:ind w:firstLine="708"/>
        <w:jc w:val="both"/>
        <w:textAlignment w:val="top"/>
        <w:rPr>
          <w:bCs/>
        </w:rPr>
      </w:pPr>
    </w:p>
    <w:p w:rsidR="00415976" w:rsidRDefault="00415976" w:rsidP="00415976">
      <w:pPr>
        <w:tabs>
          <w:tab w:val="left" w:pos="284"/>
          <w:tab w:val="left" w:pos="1134"/>
        </w:tabs>
        <w:jc w:val="both"/>
        <w:rPr>
          <w:b/>
          <w:bCs/>
        </w:rPr>
      </w:pPr>
      <w:r w:rsidRPr="00415976">
        <w:rPr>
          <w:b/>
          <w:bCs/>
        </w:rPr>
        <w:t>2.3 Características do processo de soldagem por Arame Tubular</w:t>
      </w:r>
    </w:p>
    <w:p w:rsidR="00415976" w:rsidRDefault="00415976" w:rsidP="00415976">
      <w:pPr>
        <w:shd w:val="clear" w:color="auto" w:fill="FFFFFF"/>
        <w:ind w:firstLine="708"/>
        <w:jc w:val="both"/>
        <w:textAlignment w:val="top"/>
        <w:rPr>
          <w:bCs/>
        </w:rPr>
      </w:pPr>
    </w:p>
    <w:p w:rsidR="00415976" w:rsidRPr="00415976" w:rsidRDefault="00415976" w:rsidP="00415976">
      <w:pPr>
        <w:shd w:val="clear" w:color="auto" w:fill="FFFFFF"/>
        <w:ind w:firstLine="708"/>
        <w:jc w:val="both"/>
        <w:textAlignment w:val="top"/>
        <w:rPr>
          <w:bCs/>
        </w:rPr>
      </w:pPr>
      <w:r w:rsidRPr="00415976">
        <w:rPr>
          <w:bCs/>
        </w:rPr>
        <w:t>Sendo um processo de soldagem contínuo, os arames tubulares auto protegidos (</w:t>
      </w:r>
      <w:r w:rsidRPr="00415976">
        <w:rPr>
          <w:bCs/>
          <w:i/>
        </w:rPr>
        <w:t>self-</w:t>
      </w:r>
      <w:proofErr w:type="spellStart"/>
      <w:r w:rsidRPr="00415976">
        <w:rPr>
          <w:bCs/>
          <w:i/>
        </w:rPr>
        <w:t>shielded</w:t>
      </w:r>
      <w:proofErr w:type="spellEnd"/>
      <w:r w:rsidRPr="00415976">
        <w:rPr>
          <w:bCs/>
          <w:i/>
        </w:rPr>
        <w:t xml:space="preserve"> Flux-</w:t>
      </w:r>
      <w:proofErr w:type="spellStart"/>
      <w:r w:rsidRPr="00415976">
        <w:rPr>
          <w:bCs/>
          <w:i/>
        </w:rPr>
        <w:t>cored</w:t>
      </w:r>
      <w:proofErr w:type="spellEnd"/>
      <w:r w:rsidRPr="00415976">
        <w:rPr>
          <w:bCs/>
          <w:i/>
        </w:rPr>
        <w:t xml:space="preserve"> </w:t>
      </w:r>
      <w:proofErr w:type="spellStart"/>
      <w:r w:rsidRPr="00415976">
        <w:rPr>
          <w:bCs/>
          <w:i/>
        </w:rPr>
        <w:t>arc</w:t>
      </w:r>
      <w:proofErr w:type="spellEnd"/>
      <w:r w:rsidRPr="00415976">
        <w:rPr>
          <w:bCs/>
          <w:i/>
        </w:rPr>
        <w:t xml:space="preserve"> </w:t>
      </w:r>
      <w:proofErr w:type="spellStart"/>
      <w:r w:rsidRPr="00415976">
        <w:rPr>
          <w:bCs/>
          <w:i/>
        </w:rPr>
        <w:t>welding</w:t>
      </w:r>
      <w:proofErr w:type="spellEnd"/>
      <w:r w:rsidRPr="00415976">
        <w:rPr>
          <w:bCs/>
        </w:rPr>
        <w:t xml:space="preserve"> - FCAW-s) são capazes de atingir maiores taxas de deposição que os eletrodos revestidos, e são desenvolvidos para aplicações de soldagem em geral e aplicações específicas como reparos, soldagem fora de posição e soldagem de alta deposição.</w:t>
      </w:r>
    </w:p>
    <w:p w:rsidR="00415976" w:rsidRDefault="00415976" w:rsidP="00415976">
      <w:pPr>
        <w:shd w:val="clear" w:color="auto" w:fill="FFFFFF"/>
        <w:ind w:firstLine="708"/>
        <w:jc w:val="both"/>
        <w:textAlignment w:val="top"/>
        <w:rPr>
          <w:bCs/>
        </w:rPr>
      </w:pPr>
      <w:r w:rsidRPr="00415976">
        <w:rPr>
          <w:bCs/>
        </w:rPr>
        <w:t xml:space="preserve">Assim sendo, o processo de soldagem com arame tubular combina a produtividade de um processo contínuo de soldagem e os benefícios (protetivos e químicos) de um </w:t>
      </w:r>
      <w:r w:rsidRPr="00415976">
        <w:rPr>
          <w:bCs/>
        </w:rPr>
        <w:lastRenderedPageBreak/>
        <w:t xml:space="preserve">fluxo de solda presente, por isso, este processo apresenta várias vantagens relativas aos outros processos de soldagem, dentre as quais </w:t>
      </w:r>
      <w:r>
        <w:rPr>
          <w:bCs/>
        </w:rPr>
        <w:t xml:space="preserve">(ASME Sec. </w:t>
      </w:r>
      <w:proofErr w:type="gramStart"/>
      <w:r>
        <w:rPr>
          <w:bCs/>
        </w:rPr>
        <w:t>II ,</w:t>
      </w:r>
      <w:proofErr w:type="spellStart"/>
      <w:r>
        <w:rPr>
          <w:bCs/>
        </w:rPr>
        <w:t>Part</w:t>
      </w:r>
      <w:proofErr w:type="spellEnd"/>
      <w:proofErr w:type="gramEnd"/>
      <w:r>
        <w:rPr>
          <w:bCs/>
        </w:rPr>
        <w:t xml:space="preserve"> C, 2010 e ASM, 1993)</w:t>
      </w:r>
      <w:r w:rsidRPr="00415976">
        <w:rPr>
          <w:bCs/>
        </w:rPr>
        <w:t>:</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desenvolvidos</w:t>
      </w:r>
      <w:proofErr w:type="gramEnd"/>
      <w:r w:rsidRPr="00415976">
        <w:rPr>
          <w:rFonts w:ascii="Arial" w:hAnsi="Arial" w:cs="Arial"/>
          <w:sz w:val="24"/>
          <w:szCs w:val="24"/>
        </w:rPr>
        <w:t xml:space="preserve"> e adequados para uso no campo para a soldagem de aços carbono em todas as posições e também para altas taxas de deposição;</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apresentam</w:t>
      </w:r>
      <w:proofErr w:type="gramEnd"/>
      <w:r w:rsidRPr="00415976">
        <w:rPr>
          <w:rFonts w:ascii="Arial" w:hAnsi="Arial" w:cs="Arial"/>
          <w:sz w:val="24"/>
          <w:szCs w:val="24"/>
        </w:rPr>
        <w:t xml:space="preserve"> taxas de deposição maiores que a soldagem manual com eletrodos revestidos;</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não</w:t>
      </w:r>
      <w:proofErr w:type="gramEnd"/>
      <w:r w:rsidRPr="00415976">
        <w:rPr>
          <w:rFonts w:ascii="Arial" w:hAnsi="Arial" w:cs="Arial"/>
          <w:sz w:val="24"/>
          <w:szCs w:val="24"/>
        </w:rPr>
        <w:t xml:space="preserve"> necessitam de equipamentos de solda especiais;</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geram</w:t>
      </w:r>
      <w:proofErr w:type="gramEnd"/>
      <w:r w:rsidRPr="00415976">
        <w:rPr>
          <w:rFonts w:ascii="Arial" w:hAnsi="Arial" w:cs="Arial"/>
          <w:sz w:val="24"/>
          <w:szCs w:val="24"/>
        </w:rPr>
        <w:t xml:space="preserve"> cordões com boa aparência da solda, com aspecto limpo e escória facilmente removível;</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podem</w:t>
      </w:r>
      <w:proofErr w:type="gramEnd"/>
      <w:r w:rsidRPr="00415976">
        <w:rPr>
          <w:rFonts w:ascii="Arial" w:hAnsi="Arial" w:cs="Arial"/>
          <w:sz w:val="24"/>
          <w:szCs w:val="24"/>
        </w:rPr>
        <w:t xml:space="preserve"> ser empregados na maioria dos aços estruturais com resistência mecânica da ordem de 510 MPa;</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apresentam</w:t>
      </w:r>
      <w:proofErr w:type="gramEnd"/>
      <w:r w:rsidRPr="00415976">
        <w:rPr>
          <w:rFonts w:ascii="Arial" w:hAnsi="Arial" w:cs="Arial"/>
          <w:sz w:val="24"/>
          <w:szCs w:val="24"/>
        </w:rPr>
        <w:t xml:space="preserve"> as maiores taxas de deposição, especialmente em posições de solda não usuais;</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necessitam</w:t>
      </w:r>
      <w:proofErr w:type="gramEnd"/>
      <w:r w:rsidRPr="00415976">
        <w:rPr>
          <w:rFonts w:ascii="Arial" w:hAnsi="Arial" w:cs="Arial"/>
          <w:sz w:val="24"/>
          <w:szCs w:val="24"/>
        </w:rPr>
        <w:t xml:space="preserve"> de menor necessidade de habilidade dos soldadores, menor do que nos processos de eletrodo revestido (</w:t>
      </w:r>
      <w:r w:rsidRPr="00415976">
        <w:rPr>
          <w:rFonts w:ascii="Arial" w:hAnsi="Arial" w:cs="Arial"/>
          <w:i/>
          <w:sz w:val="24"/>
          <w:szCs w:val="24"/>
        </w:rPr>
        <w:t>SMAW</w:t>
      </w:r>
      <w:r w:rsidRPr="00415976">
        <w:rPr>
          <w:rFonts w:ascii="Arial" w:hAnsi="Arial" w:cs="Arial"/>
          <w:sz w:val="24"/>
          <w:szCs w:val="24"/>
        </w:rPr>
        <w:t>) ou com gás protetivo (</w:t>
      </w:r>
      <w:r w:rsidRPr="00415976">
        <w:rPr>
          <w:rFonts w:ascii="Arial" w:hAnsi="Arial" w:cs="Arial"/>
          <w:i/>
          <w:sz w:val="24"/>
          <w:szCs w:val="24"/>
        </w:rPr>
        <w:t>MIG/MAG</w:t>
      </w:r>
      <w:r w:rsidRPr="00415976">
        <w:rPr>
          <w:rFonts w:ascii="Arial" w:hAnsi="Arial" w:cs="Arial"/>
          <w:sz w:val="24"/>
          <w:szCs w:val="24"/>
        </w:rPr>
        <w:t>);</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uma</w:t>
      </w:r>
      <w:proofErr w:type="gramEnd"/>
      <w:r w:rsidRPr="00415976">
        <w:rPr>
          <w:rFonts w:ascii="Arial" w:hAnsi="Arial" w:cs="Arial"/>
          <w:sz w:val="24"/>
          <w:szCs w:val="24"/>
        </w:rPr>
        <w:t xml:space="preserve"> quantidade reduzida de respingos é outra vantagem frequentemente oferecida pelos arames tubulares;</w:t>
      </w:r>
    </w:p>
    <w:p w:rsidR="00415976" w:rsidRPr="00415976" w:rsidRDefault="00415976" w:rsidP="00415976">
      <w:pPr>
        <w:pStyle w:val="PargrafodaLista"/>
        <w:numPr>
          <w:ilvl w:val="0"/>
          <w:numId w:val="11"/>
        </w:numPr>
        <w:spacing w:after="0" w:line="240" w:lineRule="auto"/>
        <w:jc w:val="both"/>
        <w:rPr>
          <w:rFonts w:ascii="Arial" w:hAnsi="Arial" w:cs="Arial"/>
          <w:sz w:val="24"/>
          <w:szCs w:val="24"/>
        </w:rPr>
      </w:pPr>
      <w:proofErr w:type="gramStart"/>
      <w:r w:rsidRPr="00415976">
        <w:rPr>
          <w:rFonts w:ascii="Arial" w:hAnsi="Arial" w:cs="Arial"/>
          <w:sz w:val="24"/>
          <w:szCs w:val="24"/>
        </w:rPr>
        <w:t>possuem</w:t>
      </w:r>
      <w:proofErr w:type="gramEnd"/>
      <w:r w:rsidRPr="00415976">
        <w:rPr>
          <w:rFonts w:ascii="Arial" w:hAnsi="Arial" w:cs="Arial"/>
          <w:sz w:val="24"/>
          <w:szCs w:val="24"/>
        </w:rPr>
        <w:t xml:space="preserve"> maior tolerância à ferrugem e carepas de laminação (óxidos) do que os processos com gás protegido.</w:t>
      </w:r>
    </w:p>
    <w:p w:rsidR="00415976" w:rsidRDefault="00415976" w:rsidP="00415976">
      <w:pPr>
        <w:shd w:val="clear" w:color="auto" w:fill="FFFFFF"/>
        <w:ind w:firstLine="708"/>
        <w:jc w:val="both"/>
        <w:textAlignment w:val="top"/>
        <w:rPr>
          <w:bCs/>
        </w:rPr>
      </w:pPr>
    </w:p>
    <w:p w:rsidR="00415976" w:rsidRDefault="00415976" w:rsidP="00415976">
      <w:pPr>
        <w:shd w:val="clear" w:color="auto" w:fill="FFFFFF"/>
        <w:ind w:firstLine="708"/>
        <w:jc w:val="both"/>
        <w:textAlignment w:val="top"/>
        <w:rPr>
          <w:bCs/>
        </w:rPr>
      </w:pPr>
      <w:r w:rsidRPr="00415976">
        <w:rPr>
          <w:bCs/>
        </w:rPr>
        <w:t>O processo também apresentas duas características que podem limitar a sua aplicação em determinadas operações de soldagem ‘</w:t>
      </w:r>
      <w:r w:rsidRPr="00415976">
        <w:rPr>
          <w:bCs/>
          <w:i/>
        </w:rPr>
        <w:t>indoor’</w:t>
      </w:r>
      <w:r w:rsidRPr="00415976">
        <w:rPr>
          <w:bCs/>
        </w:rPr>
        <w:t>:</w:t>
      </w:r>
    </w:p>
    <w:p w:rsidR="00415976" w:rsidRPr="00415976" w:rsidRDefault="00415976" w:rsidP="00415976">
      <w:pPr>
        <w:pStyle w:val="PargrafodaLista"/>
        <w:numPr>
          <w:ilvl w:val="0"/>
          <w:numId w:val="12"/>
        </w:numPr>
        <w:spacing w:after="0" w:line="240" w:lineRule="auto"/>
        <w:jc w:val="both"/>
        <w:rPr>
          <w:rFonts w:ascii="Arial" w:hAnsi="Arial" w:cs="Arial"/>
          <w:sz w:val="24"/>
          <w:szCs w:val="24"/>
        </w:rPr>
      </w:pPr>
      <w:proofErr w:type="gramStart"/>
      <w:r w:rsidRPr="00415976">
        <w:rPr>
          <w:rFonts w:ascii="Arial" w:hAnsi="Arial" w:cs="Arial"/>
          <w:sz w:val="24"/>
          <w:szCs w:val="24"/>
        </w:rPr>
        <w:t>necessidade</w:t>
      </w:r>
      <w:proofErr w:type="gramEnd"/>
      <w:r w:rsidRPr="00415976">
        <w:rPr>
          <w:rFonts w:ascii="Arial" w:hAnsi="Arial" w:cs="Arial"/>
          <w:sz w:val="24"/>
          <w:szCs w:val="24"/>
        </w:rPr>
        <w:t xml:space="preserve"> de remoção de escória após a soldagem, que é similar ao caso do eletrodo revestido, porém com maior facilidade;</w:t>
      </w:r>
    </w:p>
    <w:p w:rsidR="00415976" w:rsidRPr="00415976" w:rsidRDefault="00415976" w:rsidP="00415976">
      <w:pPr>
        <w:pStyle w:val="PargrafodaLista"/>
        <w:numPr>
          <w:ilvl w:val="0"/>
          <w:numId w:val="12"/>
        </w:numPr>
        <w:spacing w:after="0" w:line="240" w:lineRule="auto"/>
        <w:jc w:val="both"/>
        <w:rPr>
          <w:rFonts w:ascii="Arial" w:hAnsi="Arial" w:cs="Arial"/>
          <w:sz w:val="24"/>
          <w:szCs w:val="24"/>
        </w:rPr>
      </w:pPr>
      <w:proofErr w:type="gramStart"/>
      <w:r w:rsidRPr="00415976">
        <w:rPr>
          <w:rFonts w:ascii="Arial" w:hAnsi="Arial" w:cs="Arial"/>
          <w:sz w:val="24"/>
          <w:szCs w:val="24"/>
        </w:rPr>
        <w:t>maior</w:t>
      </w:r>
      <w:proofErr w:type="gramEnd"/>
      <w:r w:rsidRPr="00415976">
        <w:rPr>
          <w:rFonts w:ascii="Arial" w:hAnsi="Arial" w:cs="Arial"/>
          <w:sz w:val="24"/>
          <w:szCs w:val="24"/>
        </w:rPr>
        <w:t xml:space="preserve"> geração de fumos de soldagem do que no processo de eletrodo revestido (pela maior velocidade e deposição);</w:t>
      </w:r>
    </w:p>
    <w:p w:rsidR="00415976" w:rsidRPr="00415976" w:rsidRDefault="00415976" w:rsidP="00415976">
      <w:pPr>
        <w:pStyle w:val="PargrafodaLista"/>
        <w:numPr>
          <w:ilvl w:val="0"/>
          <w:numId w:val="12"/>
        </w:numPr>
        <w:spacing w:after="0" w:line="240" w:lineRule="auto"/>
        <w:jc w:val="both"/>
        <w:rPr>
          <w:rFonts w:ascii="Arial" w:hAnsi="Arial" w:cs="Arial"/>
          <w:sz w:val="24"/>
          <w:szCs w:val="24"/>
        </w:rPr>
      </w:pPr>
      <w:proofErr w:type="gramStart"/>
      <w:r w:rsidRPr="00415976">
        <w:rPr>
          <w:rFonts w:ascii="Arial" w:hAnsi="Arial" w:cs="Arial"/>
          <w:sz w:val="24"/>
          <w:szCs w:val="24"/>
        </w:rPr>
        <w:t>normalmente</w:t>
      </w:r>
      <w:proofErr w:type="gramEnd"/>
      <w:r w:rsidRPr="00415976">
        <w:rPr>
          <w:rFonts w:ascii="Arial" w:hAnsi="Arial" w:cs="Arial"/>
          <w:sz w:val="24"/>
          <w:szCs w:val="24"/>
        </w:rPr>
        <w:t xml:space="preserve"> o processo de soldagem é empregado no campo, pois permite correntes de ar maiores.</w:t>
      </w:r>
    </w:p>
    <w:p w:rsidR="00415976" w:rsidRDefault="00415976" w:rsidP="00415976">
      <w:pPr>
        <w:shd w:val="clear" w:color="auto" w:fill="FFFFFF"/>
        <w:ind w:firstLine="708"/>
        <w:jc w:val="both"/>
        <w:textAlignment w:val="top"/>
        <w:rPr>
          <w:bCs/>
        </w:rPr>
      </w:pPr>
    </w:p>
    <w:p w:rsidR="00415976" w:rsidRDefault="00415976" w:rsidP="00415976">
      <w:pPr>
        <w:shd w:val="clear" w:color="auto" w:fill="FFFFFF"/>
        <w:ind w:firstLine="708"/>
        <w:jc w:val="both"/>
        <w:textAlignment w:val="top"/>
        <w:rPr>
          <w:bCs/>
        </w:rPr>
      </w:pPr>
      <w:r w:rsidRPr="00415976">
        <w:rPr>
          <w:bCs/>
        </w:rPr>
        <w:t xml:space="preserve">A Figura </w:t>
      </w:r>
      <w:r>
        <w:rPr>
          <w:bCs/>
        </w:rPr>
        <w:t>4</w:t>
      </w:r>
      <w:r w:rsidRPr="00415976">
        <w:rPr>
          <w:bCs/>
        </w:rPr>
        <w:t xml:space="preserve"> ilustra aplicações típicas para soldagem de estruturas de aço em ambientes abertos. Nestes casos, este processo apresenta o máximo ganho nas características anteriormente descritas.</w:t>
      </w:r>
    </w:p>
    <w:p w:rsidR="00415976" w:rsidRDefault="00415976" w:rsidP="00415976">
      <w:pPr>
        <w:shd w:val="clear" w:color="auto" w:fill="FFFFFF"/>
        <w:ind w:firstLine="708"/>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1"/>
      </w:tblGrid>
      <w:tr w:rsidR="00415976" w:rsidTr="001D0867">
        <w:tc>
          <w:tcPr>
            <w:tcW w:w="4530" w:type="dxa"/>
            <w:vAlign w:val="center"/>
          </w:tcPr>
          <w:p w:rsidR="00415976" w:rsidRDefault="00415976" w:rsidP="001D0867">
            <w:pPr>
              <w:jc w:val="center"/>
            </w:pPr>
            <w:r>
              <w:rPr>
                <w:noProof/>
              </w:rPr>
              <w:drawing>
                <wp:inline distT="0" distB="0" distL="0" distR="0" wp14:anchorId="316815BF" wp14:editId="01170B52">
                  <wp:extent cx="2083443" cy="1440000"/>
                  <wp:effectExtent l="0" t="0" r="0" b="8255"/>
                  <wp:docPr id="87" name="Imagem 87" descr="C:\Users\WillyAnk\Documents\+ INSPEBRAS\+ CONSULTORIA &amp; DESENVOLVIMENTOS\16-12-2014 - Soldagem arame tubular\Figuras\Aplicações Arame tubula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llyAnk\Documents\+ INSPEBRAS\+ CONSULTORIA &amp; DESENVOLVIMENTOS\16-12-2014 - Soldagem arame tubular\Figuras\Aplicações Arame tubular 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83443" cy="1440000"/>
                          </a:xfrm>
                          <a:prstGeom prst="rect">
                            <a:avLst/>
                          </a:prstGeom>
                          <a:noFill/>
                          <a:ln>
                            <a:noFill/>
                          </a:ln>
                        </pic:spPr>
                      </pic:pic>
                    </a:graphicData>
                  </a:graphic>
                </wp:inline>
              </w:drawing>
            </w:r>
          </w:p>
        </w:tc>
        <w:tc>
          <w:tcPr>
            <w:tcW w:w="4531" w:type="dxa"/>
            <w:vAlign w:val="center"/>
          </w:tcPr>
          <w:p w:rsidR="00415976" w:rsidRDefault="00415976" w:rsidP="001D0867">
            <w:pPr>
              <w:jc w:val="center"/>
            </w:pPr>
            <w:r>
              <w:rPr>
                <w:noProof/>
              </w:rPr>
              <w:drawing>
                <wp:inline distT="0" distB="0" distL="0" distR="0" wp14:anchorId="6C19EE7A" wp14:editId="39DEA62C">
                  <wp:extent cx="2154212" cy="1440000"/>
                  <wp:effectExtent l="0" t="0" r="0" b="8255"/>
                  <wp:docPr id="88" name="Imagem 88" descr="C:\Users\WillyAnk\Documents\+ INSPEBRAS\+ CONSULTORIA &amp; DESENVOLVIMENTOS\16-12-2014 - Soldagem arame tubular\Figuras\Aplicações Arame tubular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llyAnk\Documents\+ INSPEBRAS\+ CONSULTORIA &amp; DESENVOLVIMENTOS\16-12-2014 - Soldagem arame tubular\Figuras\Aplicações Arame tubular 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4212" cy="1440000"/>
                          </a:xfrm>
                          <a:prstGeom prst="rect">
                            <a:avLst/>
                          </a:prstGeom>
                          <a:noFill/>
                          <a:ln>
                            <a:noFill/>
                          </a:ln>
                        </pic:spPr>
                      </pic:pic>
                    </a:graphicData>
                  </a:graphic>
                </wp:inline>
              </w:drawing>
            </w:r>
          </w:p>
        </w:tc>
      </w:tr>
    </w:tbl>
    <w:p w:rsidR="00415976" w:rsidRPr="007722C2" w:rsidRDefault="00415976" w:rsidP="00415976">
      <w:pPr>
        <w:pStyle w:val="Corpodetexto"/>
        <w:suppressAutoHyphens/>
        <w:spacing w:line="240" w:lineRule="auto"/>
        <w:contextualSpacing/>
        <w:jc w:val="center"/>
        <w:rPr>
          <w:b/>
          <w:bCs/>
        </w:rPr>
      </w:pPr>
      <w:r>
        <w:rPr>
          <w:sz w:val="20"/>
          <w:szCs w:val="20"/>
        </w:rPr>
        <w:t>Figura 4</w:t>
      </w:r>
      <w:r w:rsidRPr="007722C2">
        <w:rPr>
          <w:sz w:val="20"/>
          <w:szCs w:val="20"/>
        </w:rPr>
        <w:t xml:space="preserve">. </w:t>
      </w:r>
      <w:r>
        <w:rPr>
          <w:sz w:val="20"/>
          <w:szCs w:val="20"/>
        </w:rPr>
        <w:t xml:space="preserve">Possíveis aplicações do processo </w:t>
      </w:r>
      <w:r w:rsidRPr="007E2040">
        <w:rPr>
          <w:i/>
          <w:sz w:val="20"/>
          <w:szCs w:val="20"/>
        </w:rPr>
        <w:t>FCAW-</w:t>
      </w:r>
      <w:proofErr w:type="gramStart"/>
      <w:r w:rsidRPr="007E2040">
        <w:rPr>
          <w:i/>
          <w:sz w:val="20"/>
          <w:szCs w:val="20"/>
        </w:rPr>
        <w:t>s</w:t>
      </w:r>
      <w:proofErr w:type="gramEnd"/>
      <w:r>
        <w:rPr>
          <w:sz w:val="20"/>
          <w:szCs w:val="20"/>
        </w:rPr>
        <w:t xml:space="preserve"> em operações de construção civil.</w:t>
      </w:r>
    </w:p>
    <w:p w:rsidR="00415976" w:rsidRDefault="00415976" w:rsidP="00415976">
      <w:pPr>
        <w:shd w:val="clear" w:color="auto" w:fill="FFFFFF"/>
        <w:ind w:firstLine="708"/>
        <w:jc w:val="both"/>
        <w:textAlignment w:val="top"/>
        <w:rPr>
          <w:bCs/>
        </w:rPr>
      </w:pPr>
    </w:p>
    <w:p w:rsidR="00415976" w:rsidRDefault="00415976" w:rsidP="00415976">
      <w:pPr>
        <w:shd w:val="clear" w:color="auto" w:fill="FFFFFF"/>
        <w:ind w:firstLine="708"/>
        <w:jc w:val="both"/>
        <w:textAlignment w:val="top"/>
        <w:rPr>
          <w:bCs/>
        </w:rPr>
      </w:pPr>
      <w:r w:rsidRPr="00415976">
        <w:rPr>
          <w:bCs/>
        </w:rPr>
        <w:lastRenderedPageBreak/>
        <w:t>A soldagem por Arame Tubular auto protegido possui poucos requisitos em termos de equipamentos especiais. Dentre os equipamentos diferenciados a serem empregados, destaca-se a tocha FCAW-s, mostrada na Figura 5.</w:t>
      </w:r>
    </w:p>
    <w:p w:rsidR="00415976" w:rsidRDefault="00415976" w:rsidP="00415976">
      <w:pPr>
        <w:shd w:val="clear" w:color="auto" w:fill="FFFFFF"/>
        <w:ind w:firstLine="708"/>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5976"/>
      </w:tblGrid>
      <w:tr w:rsidR="00415976" w:rsidTr="001D0867">
        <w:tc>
          <w:tcPr>
            <w:tcW w:w="3213" w:type="dxa"/>
            <w:vAlign w:val="center"/>
          </w:tcPr>
          <w:p w:rsidR="00415976" w:rsidRDefault="00415976" w:rsidP="001D0867">
            <w:pPr>
              <w:jc w:val="center"/>
            </w:pPr>
            <w:r>
              <w:rPr>
                <w:b/>
                <w:noProof/>
                <w:sz w:val="20"/>
                <w:szCs w:val="20"/>
              </w:rPr>
              <w:drawing>
                <wp:inline distT="0" distB="0" distL="0" distR="0" wp14:anchorId="0B219D93" wp14:editId="23A6D0D8">
                  <wp:extent cx="1548931" cy="1440000"/>
                  <wp:effectExtent l="0" t="0" r="0" b="8255"/>
                  <wp:docPr id="56" name="Imagem 56" descr="C:\Users\WillyAnk\Documents\+ INSPEBRAS\+ CONSULTORIA &amp; DESENVOLVIMENTOS\16-12-2014 - Soldagem arame tubular\Figuras\Tocha FCAW-S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llyAnk\Documents\+ INSPEBRAS\+ CONSULTORIA &amp; DESENVOLVIMENTOS\16-12-2014 - Soldagem arame tubular\Figuras\Tocha FCAW-S 4-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48931" cy="1440000"/>
                          </a:xfrm>
                          <a:prstGeom prst="rect">
                            <a:avLst/>
                          </a:prstGeom>
                          <a:noFill/>
                          <a:ln>
                            <a:noFill/>
                          </a:ln>
                        </pic:spPr>
                      </pic:pic>
                    </a:graphicData>
                  </a:graphic>
                </wp:inline>
              </w:drawing>
            </w:r>
          </w:p>
        </w:tc>
        <w:tc>
          <w:tcPr>
            <w:tcW w:w="5858" w:type="dxa"/>
            <w:vAlign w:val="center"/>
          </w:tcPr>
          <w:p w:rsidR="00415976" w:rsidRDefault="00415976" w:rsidP="001D0867">
            <w:pPr>
              <w:jc w:val="center"/>
            </w:pPr>
            <w:r>
              <w:rPr>
                <w:b/>
                <w:noProof/>
                <w:sz w:val="20"/>
                <w:szCs w:val="20"/>
              </w:rPr>
              <w:drawing>
                <wp:inline distT="0" distB="0" distL="0" distR="0" wp14:anchorId="51A6AA09" wp14:editId="01D6049F">
                  <wp:extent cx="3653142" cy="1440000"/>
                  <wp:effectExtent l="0" t="0" r="5080" b="8255"/>
                  <wp:docPr id="57" name="Imagem 57" descr="C:\Users\WillyAnk\Documents\+ INSPEBRAS\+ CONSULTORIA &amp; DESENVOLVIMENTOS\16-12-2014 - Soldagem arame tubular\Figuras\Tocha FCAW-S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llyAnk\Documents\+ INSPEBRAS\+ CONSULTORIA &amp; DESENVOLVIMENTOS\16-12-2014 - Soldagem arame tubular\Figuras\Tocha FCAW-S 3-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53142" cy="1440000"/>
                          </a:xfrm>
                          <a:prstGeom prst="rect">
                            <a:avLst/>
                          </a:prstGeom>
                          <a:noFill/>
                          <a:ln>
                            <a:noFill/>
                          </a:ln>
                        </pic:spPr>
                      </pic:pic>
                    </a:graphicData>
                  </a:graphic>
                </wp:inline>
              </w:drawing>
            </w:r>
          </w:p>
        </w:tc>
      </w:tr>
    </w:tbl>
    <w:p w:rsidR="00415976" w:rsidRPr="007722C2" w:rsidRDefault="00415976" w:rsidP="00415976">
      <w:pPr>
        <w:pStyle w:val="Corpodetexto"/>
        <w:suppressAutoHyphens/>
        <w:spacing w:line="240" w:lineRule="auto"/>
        <w:contextualSpacing/>
        <w:jc w:val="center"/>
        <w:rPr>
          <w:b/>
          <w:bCs/>
        </w:rPr>
      </w:pPr>
      <w:r>
        <w:rPr>
          <w:sz w:val="20"/>
          <w:szCs w:val="20"/>
        </w:rPr>
        <w:t>Figura 5</w:t>
      </w:r>
      <w:r w:rsidRPr="007722C2">
        <w:rPr>
          <w:sz w:val="20"/>
          <w:szCs w:val="20"/>
        </w:rPr>
        <w:t xml:space="preserve">. </w:t>
      </w:r>
      <w:r w:rsidRPr="00B8034A">
        <w:rPr>
          <w:sz w:val="20"/>
          <w:szCs w:val="20"/>
        </w:rPr>
        <w:t>Aspecto da tocha de soldagem por Arame Tubular. O anteparo indicado pela seta serve para melhorar o conforto do soldador contra o arco elétrico que pode ficar aberto, depositando material, durante vários minutos</w:t>
      </w:r>
      <w:r>
        <w:rPr>
          <w:sz w:val="20"/>
          <w:szCs w:val="20"/>
        </w:rPr>
        <w:t>.</w:t>
      </w:r>
    </w:p>
    <w:p w:rsidR="00415976" w:rsidRDefault="00415976" w:rsidP="00415976">
      <w:pPr>
        <w:shd w:val="clear" w:color="auto" w:fill="FFFFFF"/>
        <w:ind w:firstLine="708"/>
        <w:jc w:val="both"/>
        <w:textAlignment w:val="top"/>
        <w:rPr>
          <w:bCs/>
        </w:rPr>
      </w:pPr>
    </w:p>
    <w:p w:rsidR="00415976" w:rsidRPr="00415976" w:rsidRDefault="00415976" w:rsidP="00415976">
      <w:pPr>
        <w:shd w:val="clear" w:color="auto" w:fill="FFFFFF"/>
        <w:ind w:firstLine="708"/>
        <w:jc w:val="both"/>
        <w:textAlignment w:val="top"/>
        <w:rPr>
          <w:bCs/>
        </w:rPr>
      </w:pPr>
      <w:r w:rsidRPr="00415976">
        <w:rPr>
          <w:bCs/>
        </w:rPr>
        <w:t>Devido ao grande intervalo de tempo de arco aberto, a tocha possui uma proteção metálica que serve para refletir o calor emanado pelo processo de soldagem. Desta forma, a mão (enluvada) do soldador possui uma proteção adicional e assim melhoria de seu conforto da longa exposição ao arco, justamente pela alta produtividade do processo, que pode levar a manter o arco elétrico aberto, depositando solda, durante vários minutos. Outro acessório empregado é o alimentador do arame. Como o processo não necessita de gás de proteção, o arame pode ser armazenado em uma maleta (</w:t>
      </w:r>
      <w:proofErr w:type="spellStart"/>
      <w:r w:rsidRPr="00415976">
        <w:rPr>
          <w:bCs/>
          <w:i/>
        </w:rPr>
        <w:t>suitcase</w:t>
      </w:r>
      <w:proofErr w:type="spellEnd"/>
      <w:r w:rsidRPr="00415976">
        <w:rPr>
          <w:bCs/>
        </w:rPr>
        <w:t>) que é ligada apenas à máquina de solda. O alimentador não apenas armazena e protege o rolo de arame, mas também controla a velocidade de alimentação e também a regulagem do equipamento de soldagem remoto.</w:t>
      </w:r>
    </w:p>
    <w:p w:rsidR="00415976" w:rsidRDefault="00415976" w:rsidP="00415976">
      <w:pPr>
        <w:shd w:val="clear" w:color="auto" w:fill="FFFFFF"/>
        <w:ind w:firstLine="708"/>
        <w:jc w:val="both"/>
        <w:textAlignment w:val="top"/>
        <w:rPr>
          <w:bCs/>
        </w:rPr>
      </w:pPr>
      <w:r w:rsidRPr="00415976">
        <w:rPr>
          <w:bCs/>
        </w:rPr>
        <w:t>Embora existam processos de soldagem de maior produtividade disponíveis, tais como arco submerso e processos robotizados, o arame tubular auto protegido oferece ao usuário um processo mais flexível com aumentos reais em produtividade com um mínimo de capital investido. A migração de eletrodo revestido para arame tubular requer obviamente a aquisição de novos equipamentos, porém o indiscutível aumento em produtividade pode garantir o retorno do capital investido de tal forma que o maior preço dos consumíveis é geralmente compensado por uma economia muito maior no processo de soldagem como um todo.</w:t>
      </w:r>
    </w:p>
    <w:p w:rsidR="00394EB1" w:rsidRPr="00415976" w:rsidRDefault="00394EB1" w:rsidP="00394EB1">
      <w:pPr>
        <w:shd w:val="clear" w:color="auto" w:fill="FFFFFF"/>
        <w:ind w:firstLine="708"/>
        <w:jc w:val="both"/>
        <w:textAlignment w:val="top"/>
        <w:rPr>
          <w:bCs/>
        </w:rPr>
      </w:pPr>
    </w:p>
    <w:p w:rsidR="00394EB1" w:rsidRDefault="00394EB1" w:rsidP="00394EB1">
      <w:pPr>
        <w:tabs>
          <w:tab w:val="left" w:pos="284"/>
          <w:tab w:val="left" w:pos="1134"/>
        </w:tabs>
        <w:jc w:val="both"/>
        <w:rPr>
          <w:b/>
          <w:bCs/>
        </w:rPr>
      </w:pPr>
      <w:r w:rsidRPr="00415976">
        <w:rPr>
          <w:b/>
          <w:bCs/>
        </w:rPr>
        <w:t>2.</w:t>
      </w:r>
      <w:r>
        <w:rPr>
          <w:b/>
          <w:bCs/>
        </w:rPr>
        <w:t>4</w:t>
      </w:r>
      <w:r w:rsidRPr="00415976">
        <w:rPr>
          <w:b/>
          <w:bCs/>
        </w:rPr>
        <w:t xml:space="preserve"> </w:t>
      </w:r>
      <w:r w:rsidRPr="00394EB1">
        <w:rPr>
          <w:b/>
          <w:bCs/>
        </w:rPr>
        <w:t>Comparações Laboratoriais</w:t>
      </w:r>
    </w:p>
    <w:p w:rsidR="00394EB1" w:rsidRDefault="00394EB1" w:rsidP="00394EB1">
      <w:pPr>
        <w:shd w:val="clear" w:color="auto" w:fill="FFFFFF"/>
        <w:ind w:firstLine="708"/>
        <w:jc w:val="both"/>
        <w:textAlignment w:val="top"/>
        <w:rPr>
          <w:bCs/>
        </w:rPr>
      </w:pPr>
    </w:p>
    <w:p w:rsidR="00394EB1" w:rsidRPr="00394EB1" w:rsidRDefault="00394EB1" w:rsidP="00394EB1">
      <w:pPr>
        <w:shd w:val="clear" w:color="auto" w:fill="FFFFFF"/>
        <w:ind w:firstLine="708"/>
        <w:jc w:val="both"/>
        <w:textAlignment w:val="top"/>
        <w:rPr>
          <w:bCs/>
        </w:rPr>
      </w:pPr>
      <w:r w:rsidRPr="00394EB1">
        <w:rPr>
          <w:bCs/>
        </w:rPr>
        <w:t>Ao longo de um mês (</w:t>
      </w:r>
      <w:proofErr w:type="gramStart"/>
      <w:r w:rsidRPr="00394EB1">
        <w:rPr>
          <w:bCs/>
        </w:rPr>
        <w:t>Dez./</w:t>
      </w:r>
      <w:proofErr w:type="gramEnd"/>
      <w:r w:rsidRPr="00394EB1">
        <w:rPr>
          <w:bCs/>
        </w:rPr>
        <w:t>2014) foram feitos inúmeros testes de desempenho do processo de arame tubular auto protegido (</w:t>
      </w:r>
      <w:r w:rsidRPr="00F90E22">
        <w:rPr>
          <w:bCs/>
          <w:i/>
        </w:rPr>
        <w:t>FCAW</w:t>
      </w:r>
      <w:r w:rsidRPr="00394EB1">
        <w:rPr>
          <w:bCs/>
        </w:rPr>
        <w:t>-S) nas instalações do Centro de Soldagem - INSPEBRAS</w:t>
      </w:r>
      <w:r w:rsidRPr="00F90E22">
        <w:rPr>
          <w:bCs/>
          <w:vertAlign w:val="superscript"/>
        </w:rPr>
        <w:t>®</w:t>
      </w:r>
      <w:r w:rsidRPr="00394EB1">
        <w:rPr>
          <w:bCs/>
        </w:rPr>
        <w:t>. Estas experiências geraram importantes informações, especialmente para a comparação com o processo de eletrodo revestido (</w:t>
      </w:r>
      <w:r w:rsidRPr="00F90E22">
        <w:rPr>
          <w:bCs/>
          <w:i/>
        </w:rPr>
        <w:t>SMAW</w:t>
      </w:r>
      <w:r w:rsidRPr="00394EB1">
        <w:rPr>
          <w:bCs/>
        </w:rPr>
        <w:t xml:space="preserve">). Graças a estas atividades foi possível adequar equipamentos e procedimentos para serem empregados em testes de campo e assim obter os índices de produtividade finais. Em uma destas experiências, feita em caráter de demonstração, duas juntas de perfis estruturais de aço ASTM A572 Gr. 50 </w:t>
      </w:r>
      <w:r w:rsidR="00F90E22">
        <w:rPr>
          <w:bCs/>
        </w:rPr>
        <w:t>(2015)</w:t>
      </w:r>
      <w:r w:rsidRPr="00394EB1">
        <w:rPr>
          <w:bCs/>
        </w:rPr>
        <w:t>, foram soldadas simultaneamente: uma pelo processo de arame tubular auto protegido (</w:t>
      </w:r>
      <w:r w:rsidRPr="00F90E22">
        <w:rPr>
          <w:bCs/>
          <w:i/>
        </w:rPr>
        <w:t>FCAW-S</w:t>
      </w:r>
      <w:r w:rsidRPr="00394EB1">
        <w:rPr>
          <w:bCs/>
        </w:rPr>
        <w:t xml:space="preserve">) e a outra pelo processo com </w:t>
      </w:r>
      <w:r w:rsidRPr="00394EB1">
        <w:rPr>
          <w:bCs/>
        </w:rPr>
        <w:lastRenderedPageBreak/>
        <w:t>eletrodo revestido (</w:t>
      </w:r>
      <w:r w:rsidRPr="00F90E22">
        <w:rPr>
          <w:bCs/>
          <w:i/>
        </w:rPr>
        <w:t>SMAW</w:t>
      </w:r>
      <w:r w:rsidRPr="00394EB1">
        <w:rPr>
          <w:bCs/>
        </w:rPr>
        <w:t>) padrão empregado em uma obra em andamento na região portuária de Santos (ver item 2.5).</w:t>
      </w:r>
    </w:p>
    <w:p w:rsidR="00394EB1" w:rsidRDefault="00394EB1" w:rsidP="00394EB1">
      <w:pPr>
        <w:shd w:val="clear" w:color="auto" w:fill="FFFFFF"/>
        <w:ind w:firstLine="708"/>
        <w:jc w:val="both"/>
        <w:textAlignment w:val="top"/>
        <w:rPr>
          <w:bCs/>
        </w:rPr>
      </w:pPr>
      <w:r w:rsidRPr="00394EB1">
        <w:rPr>
          <w:bCs/>
        </w:rPr>
        <w:t>Soldadores reconhecidamente experientes foram selecionados para executar este teste que abrangeu todas as posições de soldagem que seriam empregadas na prática de união de perfis em estacas metálicas: 1G (plana), 2G (horizontal) e 3G (vertical), conforme ilustradas na Figura 6. Estiveram presentes representantes de empresas de região interessadas no potencial da técnica</w:t>
      </w:r>
    </w:p>
    <w:p w:rsidR="00394EB1" w:rsidRDefault="00394EB1" w:rsidP="00394EB1">
      <w:pPr>
        <w:shd w:val="clear" w:color="auto" w:fill="FFFFFF"/>
        <w:ind w:firstLine="708"/>
        <w:jc w:val="both"/>
        <w:textAlignment w:val="top"/>
        <w:rPr>
          <w:bCs/>
        </w:rPr>
      </w:pPr>
    </w:p>
    <w:tbl>
      <w:tblPr>
        <w:tblStyle w:val="Tabelacomgrade"/>
        <w:tblW w:w="92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82"/>
        <w:gridCol w:w="89"/>
        <w:gridCol w:w="2888"/>
        <w:gridCol w:w="183"/>
        <w:gridCol w:w="3072"/>
      </w:tblGrid>
      <w:tr w:rsidR="00F90E22" w:rsidRPr="006224A8" w:rsidTr="001D0867">
        <w:tc>
          <w:tcPr>
            <w:tcW w:w="3071" w:type="dxa"/>
            <w:gridSpan w:val="2"/>
            <w:vAlign w:val="bottom"/>
          </w:tcPr>
          <w:p w:rsidR="00F90E22" w:rsidRPr="006224A8" w:rsidRDefault="00F90E22" w:rsidP="001D0867">
            <w:pPr>
              <w:spacing w:before="120" w:after="20"/>
              <w:jc w:val="center"/>
              <w:rPr>
                <w:rFonts w:cs="Times New Roman"/>
                <w:sz w:val="18"/>
                <w:szCs w:val="18"/>
              </w:rPr>
            </w:pPr>
            <w:r>
              <w:rPr>
                <w:rFonts w:cs="Times New Roman"/>
                <w:noProof/>
                <w:sz w:val="18"/>
                <w:szCs w:val="18"/>
              </w:rPr>
              <w:drawing>
                <wp:inline distT="0" distB="0" distL="0" distR="0" wp14:anchorId="14B65A05" wp14:editId="32A840B8">
                  <wp:extent cx="1809750" cy="952500"/>
                  <wp:effectExtent l="0" t="0" r="0" b="0"/>
                  <wp:docPr id="6" name="Imagem 6" descr="C:\Users\WillyAnk\Documents\ARTIGOS\2014\2014 - Revista Tubo &amp; Cia - Soldagem de tubos\Figuras\Figura 2 - 1G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llyAnk\Documents\ARTIGOS\2014\2014 - Revista Tubo &amp; Cia - Soldagem de tubos\Figuras\Figura 2 - 1G -BR.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09750" cy="952500"/>
                          </a:xfrm>
                          <a:prstGeom prst="rect">
                            <a:avLst/>
                          </a:prstGeom>
                          <a:noFill/>
                          <a:ln>
                            <a:noFill/>
                          </a:ln>
                        </pic:spPr>
                      </pic:pic>
                    </a:graphicData>
                  </a:graphic>
                </wp:inline>
              </w:drawing>
            </w:r>
          </w:p>
        </w:tc>
        <w:tc>
          <w:tcPr>
            <w:tcW w:w="3071" w:type="dxa"/>
            <w:gridSpan w:val="2"/>
            <w:vAlign w:val="bottom"/>
          </w:tcPr>
          <w:p w:rsidR="00F90E22" w:rsidRPr="006224A8" w:rsidRDefault="00F90E22" w:rsidP="001D0867">
            <w:pPr>
              <w:spacing w:before="120" w:after="20"/>
              <w:jc w:val="center"/>
              <w:rPr>
                <w:rFonts w:cs="Times New Roman"/>
                <w:sz w:val="18"/>
                <w:szCs w:val="18"/>
              </w:rPr>
            </w:pPr>
            <w:r>
              <w:rPr>
                <w:rFonts w:cs="Times New Roman"/>
                <w:b/>
                <w:noProof/>
                <w:sz w:val="18"/>
                <w:szCs w:val="18"/>
              </w:rPr>
              <w:drawing>
                <wp:inline distT="0" distB="0" distL="0" distR="0" wp14:anchorId="7BC79095" wp14:editId="320297BF">
                  <wp:extent cx="1014402" cy="1260000"/>
                  <wp:effectExtent l="0" t="0" r="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G.jpg"/>
                          <pic:cNvPicPr/>
                        </pic:nvPicPr>
                        <pic:blipFill>
                          <a:blip r:embed="rId18">
                            <a:extLst>
                              <a:ext uri="{28A0092B-C50C-407E-A947-70E740481C1C}">
                                <a14:useLocalDpi xmlns:a14="http://schemas.microsoft.com/office/drawing/2010/main" val="0"/>
                              </a:ext>
                            </a:extLst>
                          </a:blip>
                          <a:stretch>
                            <a:fillRect/>
                          </a:stretch>
                        </pic:blipFill>
                        <pic:spPr>
                          <a:xfrm>
                            <a:off x="0" y="0"/>
                            <a:ext cx="1014402" cy="1260000"/>
                          </a:xfrm>
                          <a:prstGeom prst="rect">
                            <a:avLst/>
                          </a:prstGeom>
                        </pic:spPr>
                      </pic:pic>
                    </a:graphicData>
                  </a:graphic>
                </wp:inline>
              </w:drawing>
            </w:r>
          </w:p>
        </w:tc>
        <w:tc>
          <w:tcPr>
            <w:tcW w:w="3072" w:type="dxa"/>
            <w:vAlign w:val="bottom"/>
          </w:tcPr>
          <w:p w:rsidR="00F90E22" w:rsidRPr="006224A8" w:rsidRDefault="00F90E22" w:rsidP="001D0867">
            <w:pPr>
              <w:spacing w:before="120" w:after="20"/>
              <w:jc w:val="center"/>
              <w:rPr>
                <w:rFonts w:cs="Times New Roman"/>
                <w:sz w:val="18"/>
                <w:szCs w:val="18"/>
              </w:rPr>
            </w:pPr>
            <w:r>
              <w:rPr>
                <w:rFonts w:cs="Times New Roman"/>
                <w:b/>
                <w:noProof/>
                <w:sz w:val="18"/>
                <w:szCs w:val="18"/>
              </w:rPr>
              <w:drawing>
                <wp:inline distT="0" distB="0" distL="0" distR="0" wp14:anchorId="2884385B" wp14:editId="7372B6D9">
                  <wp:extent cx="1150677" cy="1260000"/>
                  <wp:effectExtent l="0" t="0" r="0" b="0"/>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G.jpg"/>
                          <pic:cNvPicPr/>
                        </pic:nvPicPr>
                        <pic:blipFill>
                          <a:blip r:embed="rId19">
                            <a:extLst>
                              <a:ext uri="{28A0092B-C50C-407E-A947-70E740481C1C}">
                                <a14:useLocalDpi xmlns:a14="http://schemas.microsoft.com/office/drawing/2010/main" val="0"/>
                              </a:ext>
                            </a:extLst>
                          </a:blip>
                          <a:stretch>
                            <a:fillRect/>
                          </a:stretch>
                        </pic:blipFill>
                        <pic:spPr>
                          <a:xfrm>
                            <a:off x="0" y="0"/>
                            <a:ext cx="1150677" cy="1260000"/>
                          </a:xfrm>
                          <a:prstGeom prst="rect">
                            <a:avLst/>
                          </a:prstGeom>
                        </pic:spPr>
                      </pic:pic>
                    </a:graphicData>
                  </a:graphic>
                </wp:inline>
              </w:drawing>
            </w:r>
          </w:p>
        </w:tc>
      </w:tr>
      <w:tr w:rsidR="00F90E22" w:rsidRPr="006224A8" w:rsidTr="001D0867">
        <w:tc>
          <w:tcPr>
            <w:tcW w:w="2982" w:type="dxa"/>
          </w:tcPr>
          <w:p w:rsidR="00F90E22" w:rsidRDefault="00F90E22" w:rsidP="001D0867">
            <w:pPr>
              <w:spacing w:before="20" w:after="20"/>
              <w:jc w:val="center"/>
              <w:rPr>
                <w:rFonts w:cs="Times New Roman"/>
                <w:sz w:val="22"/>
                <w:szCs w:val="18"/>
              </w:rPr>
            </w:pPr>
            <w:r>
              <w:rPr>
                <w:rFonts w:cs="Times New Roman"/>
                <w:sz w:val="22"/>
                <w:szCs w:val="18"/>
              </w:rPr>
              <w:t>1</w:t>
            </w:r>
            <w:r w:rsidRPr="003240B3">
              <w:rPr>
                <w:rFonts w:cs="Times New Roman"/>
                <w:sz w:val="22"/>
                <w:szCs w:val="18"/>
              </w:rPr>
              <w:t>G (</w:t>
            </w:r>
            <w:r>
              <w:rPr>
                <w:rFonts w:cs="Times New Roman"/>
                <w:sz w:val="22"/>
                <w:szCs w:val="18"/>
              </w:rPr>
              <w:t>plana</w:t>
            </w:r>
            <w:r w:rsidRPr="003240B3">
              <w:rPr>
                <w:rFonts w:cs="Times New Roman"/>
                <w:sz w:val="22"/>
                <w:szCs w:val="18"/>
              </w:rPr>
              <w:t>)</w:t>
            </w:r>
          </w:p>
          <w:p w:rsidR="00F90E22" w:rsidRPr="003240B3" w:rsidRDefault="00F90E22" w:rsidP="001D0867">
            <w:pPr>
              <w:spacing w:before="20" w:after="20"/>
              <w:jc w:val="center"/>
              <w:rPr>
                <w:rFonts w:cs="Times New Roman"/>
                <w:sz w:val="22"/>
                <w:szCs w:val="18"/>
              </w:rPr>
            </w:pPr>
          </w:p>
        </w:tc>
        <w:tc>
          <w:tcPr>
            <w:tcW w:w="2977" w:type="dxa"/>
            <w:gridSpan w:val="2"/>
          </w:tcPr>
          <w:p w:rsidR="00F90E22" w:rsidRDefault="00F90E22" w:rsidP="001D0867">
            <w:pPr>
              <w:spacing w:before="20" w:after="20"/>
              <w:jc w:val="center"/>
              <w:rPr>
                <w:rFonts w:cs="Times New Roman"/>
                <w:sz w:val="22"/>
                <w:szCs w:val="18"/>
              </w:rPr>
            </w:pPr>
            <w:r w:rsidRPr="003240B3">
              <w:rPr>
                <w:rFonts w:cs="Times New Roman"/>
                <w:sz w:val="22"/>
                <w:szCs w:val="18"/>
              </w:rPr>
              <w:t>2G (horizontal)</w:t>
            </w:r>
          </w:p>
          <w:p w:rsidR="00F90E22" w:rsidRPr="003240B3" w:rsidRDefault="00F90E22" w:rsidP="001D0867">
            <w:pPr>
              <w:spacing w:before="20" w:after="20"/>
              <w:jc w:val="center"/>
              <w:rPr>
                <w:rFonts w:cs="Times New Roman"/>
                <w:sz w:val="22"/>
                <w:szCs w:val="18"/>
              </w:rPr>
            </w:pPr>
          </w:p>
        </w:tc>
        <w:tc>
          <w:tcPr>
            <w:tcW w:w="3255" w:type="dxa"/>
            <w:gridSpan w:val="2"/>
          </w:tcPr>
          <w:p w:rsidR="00F90E22" w:rsidRDefault="00F90E22" w:rsidP="001D0867">
            <w:pPr>
              <w:spacing w:before="20" w:after="20"/>
              <w:jc w:val="center"/>
              <w:rPr>
                <w:rFonts w:cs="Times New Roman"/>
                <w:sz w:val="22"/>
                <w:szCs w:val="18"/>
              </w:rPr>
            </w:pPr>
            <w:r w:rsidRPr="003240B3">
              <w:rPr>
                <w:rFonts w:cs="Times New Roman"/>
                <w:sz w:val="22"/>
                <w:szCs w:val="18"/>
              </w:rPr>
              <w:t>3G (vertical)</w:t>
            </w:r>
          </w:p>
          <w:p w:rsidR="00F90E22" w:rsidRPr="003240B3" w:rsidRDefault="00F90E22" w:rsidP="001D0867">
            <w:pPr>
              <w:spacing w:before="20" w:after="20"/>
              <w:jc w:val="center"/>
              <w:rPr>
                <w:rFonts w:cs="Times New Roman"/>
                <w:sz w:val="22"/>
                <w:szCs w:val="18"/>
              </w:rPr>
            </w:pPr>
          </w:p>
        </w:tc>
      </w:tr>
    </w:tbl>
    <w:p w:rsidR="00F90E22" w:rsidRDefault="00F90E22" w:rsidP="00F90E22">
      <w:pPr>
        <w:suppressAutoHyphens/>
        <w:contextualSpacing/>
        <w:jc w:val="both"/>
        <w:rPr>
          <w:sz w:val="20"/>
          <w:szCs w:val="20"/>
        </w:rPr>
      </w:pPr>
      <w:r w:rsidRPr="003240B3">
        <w:rPr>
          <w:b/>
          <w:bCs/>
          <w:sz w:val="20"/>
          <w:szCs w:val="20"/>
        </w:rPr>
        <w:t>Figura 5</w:t>
      </w:r>
      <w:r>
        <w:rPr>
          <w:b/>
          <w:bCs/>
          <w:sz w:val="20"/>
          <w:szCs w:val="20"/>
        </w:rPr>
        <w:t xml:space="preserve">. </w:t>
      </w:r>
      <w:r w:rsidRPr="003240B3">
        <w:rPr>
          <w:sz w:val="20"/>
          <w:szCs w:val="20"/>
        </w:rPr>
        <w:t xml:space="preserve">Posições de soldagem </w:t>
      </w:r>
      <w:r>
        <w:rPr>
          <w:sz w:val="20"/>
          <w:szCs w:val="20"/>
        </w:rPr>
        <w:t>(padrão</w:t>
      </w:r>
      <w:r w:rsidRPr="003240B3">
        <w:rPr>
          <w:sz w:val="20"/>
          <w:szCs w:val="20"/>
        </w:rPr>
        <w:t xml:space="preserve"> ASME</w:t>
      </w:r>
      <w:r>
        <w:rPr>
          <w:sz w:val="20"/>
          <w:szCs w:val="20"/>
        </w:rPr>
        <w:t xml:space="preserve"> [3 e 9]) empregadas na análise laboratorial.</w:t>
      </w:r>
    </w:p>
    <w:p w:rsidR="00394EB1" w:rsidRDefault="00394EB1" w:rsidP="00394EB1">
      <w:pPr>
        <w:shd w:val="clear" w:color="auto" w:fill="FFFFFF"/>
        <w:ind w:firstLine="708"/>
        <w:jc w:val="both"/>
        <w:textAlignment w:val="top"/>
        <w:rPr>
          <w:bCs/>
        </w:rPr>
      </w:pPr>
    </w:p>
    <w:p w:rsidR="00F90E22" w:rsidRDefault="00F90E22" w:rsidP="00394EB1">
      <w:pPr>
        <w:shd w:val="clear" w:color="auto" w:fill="FFFFFF"/>
        <w:ind w:firstLine="708"/>
        <w:jc w:val="both"/>
        <w:textAlignment w:val="top"/>
        <w:rPr>
          <w:bCs/>
        </w:rPr>
      </w:pPr>
      <w:r w:rsidRPr="00F90E22">
        <w:rPr>
          <w:bCs/>
        </w:rPr>
        <w:t xml:space="preserve">Além desta experiência, uma análise comparativa de qualidade e de produtividade foi feita por alunos de Graduação em Engenharia Mecânica da UNISANTA. Estes alunos desenvolveram um trabalho de TCC </w:t>
      </w:r>
      <w:r>
        <w:rPr>
          <w:bCs/>
        </w:rPr>
        <w:t>(SOUZA ET Al., 2015)</w:t>
      </w:r>
      <w:r w:rsidRPr="00F90E22">
        <w:rPr>
          <w:bCs/>
        </w:rPr>
        <w:t xml:space="preserve"> comparando diretamente os processos SMAW e FCAW-</w:t>
      </w:r>
      <w:proofErr w:type="gramStart"/>
      <w:r w:rsidRPr="00F90E22">
        <w:rPr>
          <w:bCs/>
        </w:rPr>
        <w:t>s</w:t>
      </w:r>
      <w:proofErr w:type="gramEnd"/>
      <w:r w:rsidRPr="00F90E22">
        <w:rPr>
          <w:bCs/>
        </w:rPr>
        <w:t xml:space="preserve"> na soldagem de vigas de aço ASTM A572 Gr.50</w:t>
      </w:r>
      <w:r>
        <w:rPr>
          <w:bCs/>
        </w:rPr>
        <w:t xml:space="preserve"> (2015)</w:t>
      </w:r>
      <w:r w:rsidRPr="00F90E22">
        <w:rPr>
          <w:bCs/>
        </w:rPr>
        <w:t xml:space="preserve"> em condições similares às encontradas na prática das fundações profundas.</w:t>
      </w:r>
    </w:p>
    <w:p w:rsidR="00F90E22" w:rsidRDefault="00F90E22" w:rsidP="00394EB1">
      <w:pPr>
        <w:shd w:val="clear" w:color="auto" w:fill="FFFFFF"/>
        <w:ind w:firstLine="708"/>
        <w:jc w:val="both"/>
        <w:textAlignment w:val="top"/>
        <w:rPr>
          <w:bCs/>
        </w:rPr>
      </w:pPr>
    </w:p>
    <w:p w:rsidR="00F90E22" w:rsidRDefault="00F90E22" w:rsidP="00F90E22">
      <w:pPr>
        <w:tabs>
          <w:tab w:val="left" w:pos="284"/>
          <w:tab w:val="left" w:pos="1134"/>
        </w:tabs>
        <w:jc w:val="both"/>
        <w:rPr>
          <w:b/>
          <w:bCs/>
        </w:rPr>
      </w:pPr>
      <w:r w:rsidRPr="00F90E22">
        <w:rPr>
          <w:b/>
          <w:bCs/>
        </w:rPr>
        <w:t>2.5 Testes de Campo</w:t>
      </w:r>
    </w:p>
    <w:p w:rsidR="00F90E22" w:rsidRDefault="00F90E22" w:rsidP="00F90E22">
      <w:pPr>
        <w:shd w:val="clear" w:color="auto" w:fill="FFFFFF"/>
        <w:ind w:firstLine="708"/>
        <w:jc w:val="both"/>
        <w:textAlignment w:val="top"/>
        <w:rPr>
          <w:bCs/>
        </w:rPr>
      </w:pPr>
    </w:p>
    <w:p w:rsidR="005928EB" w:rsidRPr="005928EB" w:rsidRDefault="005928EB" w:rsidP="005928EB">
      <w:pPr>
        <w:shd w:val="clear" w:color="auto" w:fill="FFFFFF"/>
        <w:ind w:firstLine="708"/>
        <w:jc w:val="both"/>
        <w:textAlignment w:val="top"/>
        <w:rPr>
          <w:bCs/>
        </w:rPr>
      </w:pPr>
      <w:r w:rsidRPr="005928EB">
        <w:rPr>
          <w:bCs/>
        </w:rPr>
        <w:t xml:space="preserve">O emprego do processo </w:t>
      </w:r>
      <w:r w:rsidRPr="005928EB">
        <w:rPr>
          <w:bCs/>
          <w:i/>
        </w:rPr>
        <w:t>FCAW</w:t>
      </w:r>
      <w:r w:rsidRPr="005928EB">
        <w:rPr>
          <w:bCs/>
        </w:rPr>
        <w:t>-s foi primeiramente implementado nas obras de expansão do TIPLAM (Terminal Integrador Portuário Luiz Antonio Mesquita). Este terminal, que está localizado no Município de Santos (SP) e ao lado da Usiminas-Cubatão (</w:t>
      </w:r>
      <w:proofErr w:type="spellStart"/>
      <w:r w:rsidRPr="005928EB">
        <w:rPr>
          <w:bCs/>
        </w:rPr>
        <w:t>ex</w:t>
      </w:r>
      <w:proofErr w:type="spellEnd"/>
      <w:r w:rsidRPr="005928EB">
        <w:rPr>
          <w:bCs/>
        </w:rPr>
        <w:t xml:space="preserve"> COSIPA), está sendo ampliado para aumentar a capacidade de recebimento de matérias-primas, para a produção de fertilizantes, e para a exportação competitiva de granulados, especialmente açúcar, soja e seus derivados.</w:t>
      </w:r>
    </w:p>
    <w:p w:rsidR="005928EB" w:rsidRPr="005928EB" w:rsidRDefault="005928EB" w:rsidP="005928EB">
      <w:pPr>
        <w:shd w:val="clear" w:color="auto" w:fill="FFFFFF"/>
        <w:ind w:firstLine="708"/>
        <w:jc w:val="both"/>
        <w:textAlignment w:val="top"/>
        <w:rPr>
          <w:bCs/>
        </w:rPr>
      </w:pPr>
      <w:r w:rsidRPr="005928EB">
        <w:rPr>
          <w:bCs/>
        </w:rPr>
        <w:t xml:space="preserve">Neste primeiro local foram aperfeiçoadas as novas técnicas selecionadas para o processo. Porém outras alterações foram avaliadas e implementadas de forma a reduzir o tempo gasto no caminho crítico do processo como um todo. Algumas das soluções foram: tendas à prova de escorrimento de água de chuva (pelos perfis); suportes de talas para </w:t>
      </w:r>
      <w:proofErr w:type="spellStart"/>
      <w:r w:rsidRPr="005928EB">
        <w:rPr>
          <w:bCs/>
        </w:rPr>
        <w:t>ponteamento</w:t>
      </w:r>
      <w:proofErr w:type="spellEnd"/>
      <w:r w:rsidRPr="005928EB">
        <w:rPr>
          <w:bCs/>
        </w:rPr>
        <w:t>, uso de corte a plasma manual para obter talas e fazer o nivelamento (‘arrasamento’) dos perfis já cravados.</w:t>
      </w:r>
    </w:p>
    <w:p w:rsidR="00F90E22" w:rsidRDefault="005928EB" w:rsidP="005928EB">
      <w:pPr>
        <w:shd w:val="clear" w:color="auto" w:fill="FFFFFF"/>
        <w:ind w:firstLine="708"/>
        <w:jc w:val="both"/>
        <w:textAlignment w:val="top"/>
        <w:rPr>
          <w:bCs/>
        </w:rPr>
      </w:pPr>
      <w:r w:rsidRPr="005928EB">
        <w:rPr>
          <w:bCs/>
        </w:rPr>
        <w:t xml:space="preserve">Após a incorporação do processo </w:t>
      </w:r>
      <w:r w:rsidRPr="005928EB">
        <w:rPr>
          <w:bCs/>
          <w:i/>
        </w:rPr>
        <w:t>FCAW</w:t>
      </w:r>
      <w:r w:rsidRPr="005928EB">
        <w:rPr>
          <w:bCs/>
        </w:rPr>
        <w:t>-s e das demais soluções desenvolvidas e empregadas para a obra portuária em Santos, as soluções foram agrupadas em torno da marca INO///FAST</w:t>
      </w:r>
      <w:r w:rsidRPr="005928EB">
        <w:rPr>
          <w:bCs/>
          <w:vertAlign w:val="superscript"/>
        </w:rPr>
        <w:t>®</w:t>
      </w:r>
      <w:r w:rsidRPr="005928EB">
        <w:rPr>
          <w:bCs/>
        </w:rPr>
        <w:t xml:space="preserve"> e passaram a ser empregadas em duas outras obras de fundações profundas no país:</w:t>
      </w:r>
    </w:p>
    <w:p w:rsidR="005928EB" w:rsidRPr="005928EB" w:rsidRDefault="005928EB" w:rsidP="005928EB">
      <w:pPr>
        <w:pStyle w:val="PargrafodaLista"/>
        <w:numPr>
          <w:ilvl w:val="0"/>
          <w:numId w:val="13"/>
        </w:numPr>
        <w:spacing w:after="0" w:line="240" w:lineRule="auto"/>
        <w:jc w:val="both"/>
        <w:rPr>
          <w:rFonts w:ascii="Arial" w:hAnsi="Arial" w:cs="Arial"/>
          <w:sz w:val="24"/>
          <w:szCs w:val="24"/>
        </w:rPr>
      </w:pPr>
      <w:r w:rsidRPr="005928EB">
        <w:rPr>
          <w:rFonts w:ascii="Arial" w:hAnsi="Arial" w:cs="Arial"/>
          <w:sz w:val="24"/>
          <w:szCs w:val="24"/>
        </w:rPr>
        <w:t xml:space="preserve">Expansão da </w:t>
      </w:r>
      <w:proofErr w:type="spellStart"/>
      <w:r w:rsidRPr="005928EB">
        <w:rPr>
          <w:rFonts w:ascii="Arial" w:hAnsi="Arial" w:cs="Arial"/>
          <w:sz w:val="24"/>
          <w:szCs w:val="24"/>
        </w:rPr>
        <w:t>Bio</w:t>
      </w:r>
      <w:proofErr w:type="spellEnd"/>
      <w:r w:rsidRPr="005928EB">
        <w:rPr>
          <w:rFonts w:ascii="Arial" w:hAnsi="Arial" w:cs="Arial"/>
          <w:sz w:val="24"/>
          <w:szCs w:val="24"/>
        </w:rPr>
        <w:t xml:space="preserve"> Manguinhos - unidade da FIOCRUZ que responde pela pesquisa e fabricação de vacinas, que será responsável, dentre outras coisas, pelo </w:t>
      </w:r>
      <w:r w:rsidRPr="005928EB">
        <w:rPr>
          <w:rFonts w:ascii="Arial" w:hAnsi="Arial" w:cs="Arial"/>
          <w:sz w:val="24"/>
          <w:szCs w:val="24"/>
        </w:rPr>
        <w:lastRenderedPageBreak/>
        <w:t xml:space="preserve">fornecimento da maioria das vacinas essenciais para o calendário básico de imunização do Ministério da Saúde brasileiro. </w:t>
      </w:r>
    </w:p>
    <w:p w:rsidR="005928EB" w:rsidRPr="005928EB" w:rsidRDefault="005928EB" w:rsidP="005928EB">
      <w:pPr>
        <w:pStyle w:val="PargrafodaLista"/>
        <w:numPr>
          <w:ilvl w:val="0"/>
          <w:numId w:val="13"/>
        </w:numPr>
        <w:spacing w:after="0" w:line="240" w:lineRule="auto"/>
        <w:jc w:val="both"/>
        <w:rPr>
          <w:rFonts w:ascii="Arial" w:hAnsi="Arial" w:cs="Arial"/>
          <w:sz w:val="24"/>
          <w:szCs w:val="24"/>
        </w:rPr>
      </w:pPr>
      <w:r w:rsidRPr="005928EB">
        <w:rPr>
          <w:rFonts w:ascii="Arial" w:hAnsi="Arial" w:cs="Arial"/>
          <w:sz w:val="24"/>
          <w:szCs w:val="24"/>
        </w:rPr>
        <w:t>Consórcio Mobilidade Bahia - expansão da rede metroviária da região metropolitana de Salvador que ligará a capital da Bahia à cidade de Lauro de Freitas, serão mais 21,2 quilômetros de extensão com 12 estações e tem conclusão prevista para 2017.</w:t>
      </w:r>
    </w:p>
    <w:p w:rsidR="00394EB1" w:rsidRDefault="00394EB1" w:rsidP="00394EB1">
      <w:pPr>
        <w:shd w:val="clear" w:color="auto" w:fill="FFFFFF"/>
        <w:ind w:firstLine="708"/>
        <w:jc w:val="both"/>
        <w:textAlignment w:val="top"/>
        <w:rPr>
          <w:bCs/>
        </w:rPr>
      </w:pPr>
    </w:p>
    <w:p w:rsidR="005928EB" w:rsidRDefault="005928EB" w:rsidP="005928EB">
      <w:pPr>
        <w:tabs>
          <w:tab w:val="left" w:pos="567"/>
        </w:tabs>
        <w:rPr>
          <w:b/>
          <w:smallCaps/>
        </w:rPr>
      </w:pPr>
      <w:r>
        <w:rPr>
          <w:b/>
          <w:smallCaps/>
        </w:rPr>
        <w:t>3</w:t>
      </w:r>
      <w:r w:rsidRPr="005F013A">
        <w:rPr>
          <w:b/>
          <w:smallCaps/>
        </w:rPr>
        <w:t xml:space="preserve">. </w:t>
      </w:r>
      <w:r>
        <w:rPr>
          <w:b/>
        </w:rPr>
        <w:t>Resultados e Discussão</w:t>
      </w:r>
      <w:r w:rsidRPr="005F013A">
        <w:rPr>
          <w:b/>
          <w:smallCaps/>
        </w:rPr>
        <w:t xml:space="preserve"> </w:t>
      </w:r>
    </w:p>
    <w:p w:rsidR="00394EB1" w:rsidRDefault="00394EB1" w:rsidP="00394EB1">
      <w:pPr>
        <w:shd w:val="clear" w:color="auto" w:fill="FFFFFF"/>
        <w:ind w:firstLine="708"/>
        <w:jc w:val="both"/>
        <w:textAlignment w:val="top"/>
        <w:rPr>
          <w:bCs/>
        </w:rPr>
      </w:pPr>
    </w:p>
    <w:p w:rsidR="00415976" w:rsidRDefault="005928EB" w:rsidP="00415976">
      <w:pPr>
        <w:shd w:val="clear" w:color="auto" w:fill="FFFFFF"/>
        <w:ind w:firstLine="708"/>
        <w:jc w:val="both"/>
        <w:textAlignment w:val="top"/>
        <w:rPr>
          <w:bCs/>
        </w:rPr>
      </w:pPr>
      <w:r w:rsidRPr="005928EB">
        <w:rPr>
          <w:bCs/>
        </w:rPr>
        <w:t xml:space="preserve">As fotos apresentadas na Figura 6 foram obtidas diretamente da filmagem completa de uma comparação direta e simples entre os processos </w:t>
      </w:r>
      <w:r w:rsidRPr="005928EB">
        <w:rPr>
          <w:bCs/>
          <w:i/>
        </w:rPr>
        <w:t>SMAW</w:t>
      </w:r>
      <w:r w:rsidRPr="005928EB">
        <w:rPr>
          <w:bCs/>
        </w:rPr>
        <w:t xml:space="preserve"> e </w:t>
      </w:r>
      <w:r w:rsidRPr="005928EB">
        <w:rPr>
          <w:bCs/>
          <w:i/>
        </w:rPr>
        <w:t>FCAW</w:t>
      </w:r>
      <w:r w:rsidRPr="005928EB">
        <w:rPr>
          <w:bCs/>
        </w:rPr>
        <w:t>-s. Estas fotos ilustram as diferenças de velocidade e de intensidade de energia envolvida nos processos de Eletrodo Revestido e arame tubular auto protegido.</w:t>
      </w:r>
    </w:p>
    <w:p w:rsidR="005928EB" w:rsidRDefault="005928EB" w:rsidP="00415976">
      <w:pPr>
        <w:shd w:val="clear" w:color="auto" w:fill="FFFFFF"/>
        <w:ind w:firstLine="708"/>
        <w:jc w:val="both"/>
        <w:textAlignment w:val="top"/>
        <w:rPr>
          <w:bCs/>
        </w:rPr>
      </w:pP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60"/>
        <w:gridCol w:w="2759"/>
        <w:gridCol w:w="2760"/>
      </w:tblGrid>
      <w:tr w:rsidR="005928EB" w:rsidTr="001D0867">
        <w:trPr>
          <w:jc w:val="center"/>
        </w:trPr>
        <w:tc>
          <w:tcPr>
            <w:tcW w:w="2760"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34241D15" wp14:editId="687C70B7">
                  <wp:extent cx="1464799" cy="1080000"/>
                  <wp:effectExtent l="0" t="0" r="2540" b="6350"/>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igura 04a - 03 min 07 seg.jpg"/>
                          <pic:cNvPicPr/>
                        </pic:nvPicPr>
                        <pic:blipFill rotWithShape="1">
                          <a:blip r:embed="rId20" cstate="print">
                            <a:extLst>
                              <a:ext uri="{28A0092B-C50C-407E-A947-70E740481C1C}">
                                <a14:useLocalDpi xmlns:a14="http://schemas.microsoft.com/office/drawing/2010/main" val="0"/>
                              </a:ext>
                            </a:extLst>
                          </a:blip>
                          <a:srcRect l="9935" b="11111"/>
                          <a:stretch/>
                        </pic:blipFill>
                        <pic:spPr bwMode="auto">
                          <a:xfrm>
                            <a:off x="0" y="0"/>
                            <a:ext cx="1464799" cy="1080000"/>
                          </a:xfrm>
                          <a:prstGeom prst="rect">
                            <a:avLst/>
                          </a:prstGeom>
                          <a:ln>
                            <a:noFill/>
                          </a:ln>
                          <a:extLst>
                            <a:ext uri="{53640926-AAD7-44D8-BBD7-CCE9431645EC}">
                              <a14:shadowObscured xmlns:a14="http://schemas.microsoft.com/office/drawing/2010/main"/>
                            </a:ext>
                          </a:extLst>
                        </pic:spPr>
                      </pic:pic>
                    </a:graphicData>
                  </a:graphic>
                </wp:inline>
              </w:drawing>
            </w:r>
          </w:p>
        </w:tc>
        <w:tc>
          <w:tcPr>
            <w:tcW w:w="2759"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08FCFE44" wp14:editId="6CB32BC0">
                  <wp:extent cx="1470461" cy="1080000"/>
                  <wp:effectExtent l="0" t="0" r="0" b="635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ura 04e - 20 min 00 seg.jpg"/>
                          <pic:cNvPicPr/>
                        </pic:nvPicPr>
                        <pic:blipFill rotWithShape="1">
                          <a:blip r:embed="rId21" cstate="print">
                            <a:extLst>
                              <a:ext uri="{28A0092B-C50C-407E-A947-70E740481C1C}">
                                <a14:useLocalDpi xmlns:a14="http://schemas.microsoft.com/office/drawing/2010/main" val="0"/>
                              </a:ext>
                            </a:extLst>
                          </a:blip>
                          <a:srcRect l="16728" b="18453"/>
                          <a:stretch/>
                        </pic:blipFill>
                        <pic:spPr bwMode="auto">
                          <a:xfrm>
                            <a:off x="0" y="0"/>
                            <a:ext cx="1470461" cy="1080000"/>
                          </a:xfrm>
                          <a:prstGeom prst="rect">
                            <a:avLst/>
                          </a:prstGeom>
                          <a:ln>
                            <a:noFill/>
                          </a:ln>
                          <a:extLst>
                            <a:ext uri="{53640926-AAD7-44D8-BBD7-CCE9431645EC}">
                              <a14:shadowObscured xmlns:a14="http://schemas.microsoft.com/office/drawing/2010/main"/>
                            </a:ext>
                          </a:extLst>
                        </pic:spPr>
                      </pic:pic>
                    </a:graphicData>
                  </a:graphic>
                </wp:inline>
              </w:drawing>
            </w:r>
          </w:p>
        </w:tc>
        <w:tc>
          <w:tcPr>
            <w:tcW w:w="2760"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30A255AB" wp14:editId="5EBD50C5">
                  <wp:extent cx="1384665" cy="1080000"/>
                  <wp:effectExtent l="0" t="0" r="6350" b="635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ura 04h - 25 min 55 seg.jpg"/>
                          <pic:cNvPicPr/>
                        </pic:nvPicPr>
                        <pic:blipFill rotWithShape="1">
                          <a:blip r:embed="rId22" cstate="print">
                            <a:extLst>
                              <a:ext uri="{28A0092B-C50C-407E-A947-70E740481C1C}">
                                <a14:useLocalDpi xmlns:a14="http://schemas.microsoft.com/office/drawing/2010/main" val="0"/>
                              </a:ext>
                            </a:extLst>
                          </a:blip>
                          <a:srcRect l="23262" b="20195"/>
                          <a:stretch/>
                        </pic:blipFill>
                        <pic:spPr bwMode="auto">
                          <a:xfrm>
                            <a:off x="0" y="0"/>
                            <a:ext cx="1384665" cy="1080000"/>
                          </a:xfrm>
                          <a:prstGeom prst="rect">
                            <a:avLst/>
                          </a:prstGeom>
                          <a:ln>
                            <a:noFill/>
                          </a:ln>
                          <a:extLst>
                            <a:ext uri="{53640926-AAD7-44D8-BBD7-CCE9431645EC}">
                              <a14:shadowObscured xmlns:a14="http://schemas.microsoft.com/office/drawing/2010/main"/>
                            </a:ext>
                          </a:extLst>
                        </pic:spPr>
                      </pic:pic>
                    </a:graphicData>
                  </a:graphic>
                </wp:inline>
              </w:drawing>
            </w:r>
          </w:p>
        </w:tc>
      </w:tr>
      <w:tr w:rsidR="005928EB" w:rsidTr="001D0867">
        <w:trPr>
          <w:jc w:val="center"/>
        </w:trPr>
        <w:tc>
          <w:tcPr>
            <w:tcW w:w="2760"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Início</w:t>
            </w:r>
          </w:p>
        </w:tc>
        <w:tc>
          <w:tcPr>
            <w:tcW w:w="2759"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17 minutos</w:t>
            </w:r>
          </w:p>
        </w:tc>
        <w:tc>
          <w:tcPr>
            <w:tcW w:w="2760"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23 minutos</w:t>
            </w:r>
          </w:p>
        </w:tc>
      </w:tr>
      <w:tr w:rsidR="005928EB" w:rsidTr="001D0867">
        <w:trPr>
          <w:jc w:val="center"/>
        </w:trPr>
        <w:tc>
          <w:tcPr>
            <w:tcW w:w="2760"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1FD072A1" wp14:editId="1ACA54E5">
                  <wp:extent cx="1469936" cy="1080000"/>
                  <wp:effectExtent l="0" t="0" r="0" b="635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igura 04i - 37 min 55 seg.jpg"/>
                          <pic:cNvPicPr/>
                        </pic:nvPicPr>
                        <pic:blipFill rotWithShape="1">
                          <a:blip r:embed="rId23" cstate="print">
                            <a:extLst>
                              <a:ext uri="{28A0092B-C50C-407E-A947-70E740481C1C}">
                                <a14:useLocalDpi xmlns:a14="http://schemas.microsoft.com/office/drawing/2010/main" val="0"/>
                              </a:ext>
                            </a:extLst>
                          </a:blip>
                          <a:srcRect l="7055" t="2789" r="2233" b="8346"/>
                          <a:stretch/>
                        </pic:blipFill>
                        <pic:spPr bwMode="auto">
                          <a:xfrm>
                            <a:off x="0" y="0"/>
                            <a:ext cx="1469936" cy="1080000"/>
                          </a:xfrm>
                          <a:prstGeom prst="rect">
                            <a:avLst/>
                          </a:prstGeom>
                          <a:ln>
                            <a:noFill/>
                          </a:ln>
                          <a:extLst>
                            <a:ext uri="{53640926-AAD7-44D8-BBD7-CCE9431645EC}">
                              <a14:shadowObscured xmlns:a14="http://schemas.microsoft.com/office/drawing/2010/main"/>
                            </a:ext>
                          </a:extLst>
                        </pic:spPr>
                      </pic:pic>
                    </a:graphicData>
                  </a:graphic>
                </wp:inline>
              </w:drawing>
            </w:r>
          </w:p>
        </w:tc>
        <w:tc>
          <w:tcPr>
            <w:tcW w:w="2759"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5F2796D4" wp14:editId="0CD2215B">
                  <wp:extent cx="1462000" cy="1080000"/>
                  <wp:effectExtent l="0" t="0" r="5080" b="635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ura 04k - 52 min 28seg.jpg"/>
                          <pic:cNvPicPr/>
                        </pic:nvPicPr>
                        <pic:blipFill rotWithShape="1">
                          <a:blip r:embed="rId24" cstate="print">
                            <a:extLst>
                              <a:ext uri="{28A0092B-C50C-407E-A947-70E740481C1C}">
                                <a14:useLocalDpi xmlns:a14="http://schemas.microsoft.com/office/drawing/2010/main" val="0"/>
                              </a:ext>
                            </a:extLst>
                          </a:blip>
                          <a:srcRect l="7841" t="6273" r="6168" b="9032"/>
                          <a:stretch/>
                        </pic:blipFill>
                        <pic:spPr bwMode="auto">
                          <a:xfrm>
                            <a:off x="0" y="0"/>
                            <a:ext cx="1462000" cy="1080000"/>
                          </a:xfrm>
                          <a:prstGeom prst="rect">
                            <a:avLst/>
                          </a:prstGeom>
                          <a:ln>
                            <a:noFill/>
                          </a:ln>
                          <a:extLst>
                            <a:ext uri="{53640926-AAD7-44D8-BBD7-CCE9431645EC}">
                              <a14:shadowObscured xmlns:a14="http://schemas.microsoft.com/office/drawing/2010/main"/>
                            </a:ext>
                          </a:extLst>
                        </pic:spPr>
                      </pic:pic>
                    </a:graphicData>
                  </a:graphic>
                </wp:inline>
              </w:drawing>
            </w:r>
          </w:p>
        </w:tc>
        <w:tc>
          <w:tcPr>
            <w:tcW w:w="2760" w:type="dxa"/>
          </w:tcPr>
          <w:p w:rsidR="005928EB" w:rsidRDefault="005928EB" w:rsidP="001D0867">
            <w:pPr>
              <w:spacing w:before="100" w:beforeAutospacing="1" w:after="100" w:afterAutospacing="1"/>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drawing>
                <wp:inline distT="0" distB="0" distL="0" distR="0" wp14:anchorId="74564778" wp14:editId="2D00B544">
                  <wp:extent cx="1432461" cy="1080000"/>
                  <wp:effectExtent l="0" t="0" r="0" b="635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gura 04l - 62 min 10seg.jpg"/>
                          <pic:cNvPicPr/>
                        </pic:nvPicPr>
                        <pic:blipFill rotWithShape="1">
                          <a:blip r:embed="rId25" cstate="print">
                            <a:extLst>
                              <a:ext uri="{28A0092B-C50C-407E-A947-70E740481C1C}">
                                <a14:useLocalDpi xmlns:a14="http://schemas.microsoft.com/office/drawing/2010/main" val="0"/>
                              </a:ext>
                            </a:extLst>
                          </a:blip>
                          <a:srcRect l="7581" r="2286" b="9392"/>
                          <a:stretch/>
                        </pic:blipFill>
                        <pic:spPr bwMode="auto">
                          <a:xfrm>
                            <a:off x="0" y="0"/>
                            <a:ext cx="1432461" cy="1080000"/>
                          </a:xfrm>
                          <a:prstGeom prst="rect">
                            <a:avLst/>
                          </a:prstGeom>
                          <a:ln>
                            <a:noFill/>
                          </a:ln>
                          <a:extLst>
                            <a:ext uri="{53640926-AAD7-44D8-BBD7-CCE9431645EC}">
                              <a14:shadowObscured xmlns:a14="http://schemas.microsoft.com/office/drawing/2010/main"/>
                            </a:ext>
                          </a:extLst>
                        </pic:spPr>
                      </pic:pic>
                    </a:graphicData>
                  </a:graphic>
                </wp:inline>
              </w:drawing>
            </w:r>
          </w:p>
        </w:tc>
      </w:tr>
      <w:tr w:rsidR="005928EB" w:rsidTr="001D0867">
        <w:trPr>
          <w:jc w:val="center"/>
        </w:trPr>
        <w:tc>
          <w:tcPr>
            <w:tcW w:w="2760"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 xml:space="preserve">34 minutos </w:t>
            </w:r>
            <w:r>
              <w:rPr>
                <w:rFonts w:ascii="Verdana" w:eastAsia="Calibri" w:hAnsi="Verdana" w:cs="Times New Roman"/>
                <w:noProof/>
                <w:color w:val="333333"/>
                <w:sz w:val="18"/>
                <w:szCs w:val="18"/>
              </w:rPr>
              <w:br/>
              <w:t>(término do FCAW-S)</w:t>
            </w:r>
          </w:p>
        </w:tc>
        <w:tc>
          <w:tcPr>
            <w:tcW w:w="2759"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50 minutos</w:t>
            </w:r>
            <w:r>
              <w:rPr>
                <w:rFonts w:ascii="Verdana" w:eastAsia="Calibri" w:hAnsi="Verdana" w:cs="Times New Roman"/>
                <w:noProof/>
                <w:color w:val="333333"/>
                <w:sz w:val="18"/>
                <w:szCs w:val="18"/>
              </w:rPr>
              <w:br/>
              <w:t>(somente o ER)</w:t>
            </w:r>
          </w:p>
        </w:tc>
        <w:tc>
          <w:tcPr>
            <w:tcW w:w="2760" w:type="dxa"/>
          </w:tcPr>
          <w:p w:rsidR="005928EB" w:rsidRDefault="005928EB" w:rsidP="001D0867">
            <w:pPr>
              <w:spacing w:after="120"/>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60 minutos</w:t>
            </w:r>
            <w:r>
              <w:rPr>
                <w:rFonts w:ascii="Verdana" w:eastAsia="Calibri" w:hAnsi="Verdana" w:cs="Times New Roman"/>
                <w:noProof/>
                <w:color w:val="333333"/>
                <w:sz w:val="18"/>
                <w:szCs w:val="18"/>
              </w:rPr>
              <w:br/>
              <w:t>(término do ER)</w:t>
            </w:r>
          </w:p>
        </w:tc>
      </w:tr>
    </w:tbl>
    <w:p w:rsidR="005928EB" w:rsidRPr="007722C2" w:rsidRDefault="005928EB" w:rsidP="005928EB">
      <w:pPr>
        <w:pStyle w:val="Corpodetexto"/>
        <w:suppressAutoHyphens/>
        <w:spacing w:line="240" w:lineRule="auto"/>
        <w:contextualSpacing/>
        <w:jc w:val="center"/>
        <w:rPr>
          <w:b/>
          <w:bCs/>
        </w:rPr>
      </w:pPr>
      <w:r>
        <w:rPr>
          <w:sz w:val="20"/>
          <w:szCs w:val="20"/>
        </w:rPr>
        <w:t>Figura 6</w:t>
      </w:r>
      <w:r w:rsidRPr="007722C2">
        <w:rPr>
          <w:sz w:val="20"/>
          <w:szCs w:val="20"/>
        </w:rPr>
        <w:t xml:space="preserve">. </w:t>
      </w:r>
      <w:r>
        <w:rPr>
          <w:sz w:val="20"/>
          <w:szCs w:val="20"/>
        </w:rPr>
        <w:t xml:space="preserve">Compilação da simulação da execução de uma junta soldada de vigas de aço estrutural ASTM A572 Gr.50 (2015) através dos processos </w:t>
      </w:r>
      <w:r w:rsidRPr="00B8034A">
        <w:rPr>
          <w:i/>
          <w:sz w:val="20"/>
          <w:szCs w:val="20"/>
        </w:rPr>
        <w:t>SMAW</w:t>
      </w:r>
      <w:r>
        <w:rPr>
          <w:sz w:val="20"/>
          <w:szCs w:val="20"/>
        </w:rPr>
        <w:t xml:space="preserve"> e </w:t>
      </w:r>
      <w:r w:rsidRPr="00B8034A">
        <w:rPr>
          <w:i/>
          <w:sz w:val="20"/>
          <w:szCs w:val="20"/>
        </w:rPr>
        <w:t>FCAW-S</w:t>
      </w:r>
      <w:r>
        <w:rPr>
          <w:sz w:val="20"/>
          <w:szCs w:val="20"/>
        </w:rPr>
        <w:t>, realizadas na INSPE///BRAS</w:t>
      </w:r>
      <w:r w:rsidRPr="00B8034A">
        <w:rPr>
          <w:sz w:val="20"/>
          <w:szCs w:val="20"/>
          <w:vertAlign w:val="superscript"/>
        </w:rPr>
        <w:t>®</w:t>
      </w:r>
      <w:r>
        <w:rPr>
          <w:sz w:val="20"/>
          <w:szCs w:val="20"/>
        </w:rPr>
        <w:t>.</w:t>
      </w:r>
    </w:p>
    <w:p w:rsidR="005928EB" w:rsidRDefault="005928EB" w:rsidP="00415976">
      <w:pPr>
        <w:shd w:val="clear" w:color="auto" w:fill="FFFFFF"/>
        <w:ind w:firstLine="708"/>
        <w:jc w:val="both"/>
        <w:textAlignment w:val="top"/>
        <w:rPr>
          <w:bCs/>
        </w:rPr>
      </w:pPr>
    </w:p>
    <w:p w:rsidR="005928EB" w:rsidRDefault="005928EB" w:rsidP="00415976">
      <w:pPr>
        <w:shd w:val="clear" w:color="auto" w:fill="FFFFFF"/>
        <w:ind w:firstLine="708"/>
        <w:jc w:val="both"/>
        <w:textAlignment w:val="top"/>
        <w:rPr>
          <w:bCs/>
        </w:rPr>
      </w:pPr>
      <w:r w:rsidRPr="005928EB">
        <w:rPr>
          <w:bCs/>
        </w:rPr>
        <w:t xml:space="preserve">Como resultado final destes testes, </w:t>
      </w:r>
      <w:r w:rsidR="00A94194">
        <w:rPr>
          <w:bCs/>
        </w:rPr>
        <w:t>foram obtidas</w:t>
      </w:r>
      <w:r w:rsidRPr="005928EB">
        <w:rPr>
          <w:bCs/>
        </w:rPr>
        <w:t xml:space="preserve"> duas informações relevantes</w:t>
      </w:r>
      <w:r w:rsidR="00A94194">
        <w:rPr>
          <w:bCs/>
        </w:rPr>
        <w:t xml:space="preserve"> ao tipo de processo estudado</w:t>
      </w:r>
      <w:r w:rsidRPr="005928EB">
        <w:rPr>
          <w:bCs/>
        </w:rPr>
        <w:t>:</w:t>
      </w:r>
    </w:p>
    <w:p w:rsidR="005928EB" w:rsidRPr="005928EB" w:rsidRDefault="005928EB" w:rsidP="005928EB">
      <w:pPr>
        <w:pStyle w:val="PargrafodaLista"/>
        <w:numPr>
          <w:ilvl w:val="0"/>
          <w:numId w:val="14"/>
        </w:numPr>
        <w:spacing w:after="0" w:line="240" w:lineRule="auto"/>
        <w:jc w:val="both"/>
        <w:rPr>
          <w:rFonts w:ascii="Arial" w:hAnsi="Arial" w:cs="Arial"/>
          <w:sz w:val="24"/>
          <w:szCs w:val="24"/>
        </w:rPr>
      </w:pPr>
      <w:r w:rsidRPr="005928EB">
        <w:rPr>
          <w:rFonts w:ascii="Arial" w:hAnsi="Arial" w:cs="Arial"/>
          <w:sz w:val="24"/>
          <w:szCs w:val="24"/>
        </w:rPr>
        <w:t xml:space="preserve">A duração do processo de execução da emenda foi de 34 minutos para o processo </w:t>
      </w:r>
      <w:r w:rsidRPr="005928EB">
        <w:rPr>
          <w:rFonts w:ascii="Arial" w:hAnsi="Arial" w:cs="Arial"/>
          <w:i/>
          <w:sz w:val="24"/>
          <w:szCs w:val="24"/>
        </w:rPr>
        <w:t>FCAW-s</w:t>
      </w:r>
      <w:r w:rsidRPr="005928EB">
        <w:rPr>
          <w:rFonts w:ascii="Arial" w:hAnsi="Arial" w:cs="Arial"/>
          <w:sz w:val="24"/>
          <w:szCs w:val="24"/>
        </w:rPr>
        <w:t xml:space="preserve"> e de 60 minutos para o processo </w:t>
      </w:r>
      <w:r w:rsidRPr="005928EB">
        <w:rPr>
          <w:rFonts w:ascii="Arial" w:hAnsi="Arial" w:cs="Arial"/>
          <w:i/>
          <w:sz w:val="24"/>
          <w:szCs w:val="24"/>
        </w:rPr>
        <w:t>SMAW</w:t>
      </w:r>
      <w:r w:rsidRPr="005928EB">
        <w:rPr>
          <w:rFonts w:ascii="Arial" w:hAnsi="Arial" w:cs="Arial"/>
          <w:sz w:val="24"/>
          <w:szCs w:val="24"/>
        </w:rPr>
        <w:t xml:space="preserve"> (43% mais rápido).</w:t>
      </w:r>
    </w:p>
    <w:p w:rsidR="005928EB" w:rsidRPr="005928EB" w:rsidRDefault="005928EB" w:rsidP="005928EB">
      <w:pPr>
        <w:pStyle w:val="PargrafodaLista"/>
        <w:numPr>
          <w:ilvl w:val="0"/>
          <w:numId w:val="14"/>
        </w:numPr>
        <w:spacing w:after="0" w:line="240" w:lineRule="auto"/>
        <w:jc w:val="both"/>
        <w:rPr>
          <w:rFonts w:ascii="Arial" w:hAnsi="Arial" w:cs="Arial"/>
          <w:sz w:val="24"/>
          <w:szCs w:val="24"/>
        </w:rPr>
      </w:pPr>
      <w:r w:rsidRPr="005928EB">
        <w:rPr>
          <w:rFonts w:ascii="Arial" w:hAnsi="Arial" w:cs="Arial"/>
          <w:sz w:val="24"/>
          <w:szCs w:val="24"/>
        </w:rPr>
        <w:t xml:space="preserve">A quantidade de metal depositado pelo processo SMAW, para as condições de execução do teste foi da ordem de 6mm (perna de solda) enquanto que o </w:t>
      </w:r>
      <w:r w:rsidRPr="005928EB">
        <w:rPr>
          <w:rFonts w:ascii="Arial" w:hAnsi="Arial" w:cs="Arial"/>
          <w:i/>
          <w:sz w:val="24"/>
          <w:szCs w:val="24"/>
        </w:rPr>
        <w:t>FCAW-s</w:t>
      </w:r>
      <w:r w:rsidRPr="005928EB">
        <w:rPr>
          <w:rFonts w:ascii="Arial" w:hAnsi="Arial" w:cs="Arial"/>
          <w:sz w:val="24"/>
          <w:szCs w:val="24"/>
        </w:rPr>
        <w:t xml:space="preserve"> depositou cerca de 10mm (67% mais metal).</w:t>
      </w:r>
    </w:p>
    <w:p w:rsidR="005928EB" w:rsidRDefault="005928EB" w:rsidP="00415976">
      <w:pPr>
        <w:shd w:val="clear" w:color="auto" w:fill="FFFFFF"/>
        <w:ind w:firstLine="708"/>
        <w:jc w:val="both"/>
        <w:textAlignment w:val="top"/>
        <w:rPr>
          <w:bCs/>
        </w:rPr>
      </w:pPr>
    </w:p>
    <w:p w:rsidR="005928EB" w:rsidRDefault="00A94194" w:rsidP="00A94194">
      <w:pPr>
        <w:shd w:val="clear" w:color="auto" w:fill="FFFFFF"/>
        <w:tabs>
          <w:tab w:val="left" w:pos="1203"/>
        </w:tabs>
        <w:ind w:firstLine="708"/>
        <w:jc w:val="both"/>
        <w:textAlignment w:val="top"/>
        <w:rPr>
          <w:bCs/>
        </w:rPr>
      </w:pPr>
      <w:r w:rsidRPr="00A94194">
        <w:rPr>
          <w:bCs/>
        </w:rPr>
        <w:t xml:space="preserve">Estes resultados indicam o processo </w:t>
      </w:r>
      <w:r w:rsidRPr="00A94194">
        <w:rPr>
          <w:bCs/>
          <w:i/>
        </w:rPr>
        <w:t>FCAW</w:t>
      </w:r>
      <w:r w:rsidRPr="00A94194">
        <w:rPr>
          <w:bCs/>
        </w:rPr>
        <w:t xml:space="preserve">-s especificado é 2,94 vezes mais rápido do que o processo </w:t>
      </w:r>
      <w:r w:rsidRPr="00A94194">
        <w:rPr>
          <w:bCs/>
          <w:i/>
        </w:rPr>
        <w:t>SMAW</w:t>
      </w:r>
      <w:r w:rsidRPr="00A94194">
        <w:rPr>
          <w:bCs/>
        </w:rPr>
        <w:t xml:space="preserve"> empregado e referenciado nesta experiência. Os fatores relacionados à produtividade indicam vantagem na aplicação do arame tubular, devido à sua velocidade de operação.</w:t>
      </w:r>
    </w:p>
    <w:p w:rsidR="00A94194" w:rsidRDefault="00A94194" w:rsidP="00A94194">
      <w:pPr>
        <w:shd w:val="clear" w:color="auto" w:fill="FFFFFF"/>
        <w:tabs>
          <w:tab w:val="left" w:pos="1203"/>
        </w:tabs>
        <w:ind w:firstLine="708"/>
        <w:jc w:val="both"/>
        <w:textAlignment w:val="top"/>
        <w:rPr>
          <w:bCs/>
        </w:rPr>
      </w:pPr>
      <w:r w:rsidRPr="00A94194">
        <w:rPr>
          <w:bCs/>
        </w:rPr>
        <w:t xml:space="preserve">Em termos de velocidade de execução, o Trabalho de Conclusão de Curso (TCC) efetuado pelos alunos da </w:t>
      </w:r>
      <w:proofErr w:type="spellStart"/>
      <w:r>
        <w:rPr>
          <w:bCs/>
        </w:rPr>
        <w:t>Unisanta</w:t>
      </w:r>
      <w:proofErr w:type="spellEnd"/>
      <w:r>
        <w:rPr>
          <w:bCs/>
        </w:rPr>
        <w:t xml:space="preserve"> (SOUZA ET AL., 2015)</w:t>
      </w:r>
      <w:r w:rsidRPr="00A94194">
        <w:rPr>
          <w:bCs/>
        </w:rPr>
        <w:t xml:space="preserve"> apontou uma velocidade </w:t>
      </w:r>
      <w:r w:rsidRPr="00A94194">
        <w:rPr>
          <w:bCs/>
        </w:rPr>
        <w:lastRenderedPageBreak/>
        <w:t>similar à obtida na experiência ilustrada na Figura 6. A Tabela 2 apresenta um resumo dos d</w:t>
      </w:r>
      <w:r>
        <w:rPr>
          <w:bCs/>
        </w:rPr>
        <w:t>ados obtidos neste trabalho (SOUZA ET AL., 2015)</w:t>
      </w:r>
      <w:r w:rsidRPr="00A94194">
        <w:rPr>
          <w:bCs/>
        </w:rPr>
        <w:t xml:space="preserve"> e a partir dos quais pode-se notar uma taxa de deposição e velocidade maiores 33% a 54% (em média) no processo </w:t>
      </w:r>
      <w:r w:rsidRPr="00A94194">
        <w:rPr>
          <w:bCs/>
          <w:i/>
        </w:rPr>
        <w:t>FCAW</w:t>
      </w:r>
      <w:r w:rsidRPr="00A94194">
        <w:rPr>
          <w:bCs/>
        </w:rPr>
        <w:t xml:space="preserve">-s selecionado em relação ao </w:t>
      </w:r>
      <w:r w:rsidRPr="00A94194">
        <w:rPr>
          <w:bCs/>
          <w:i/>
        </w:rPr>
        <w:t>SMAW</w:t>
      </w:r>
      <w:r w:rsidRPr="00A94194">
        <w:rPr>
          <w:bCs/>
        </w:rPr>
        <w:t xml:space="preserve"> padrão. </w:t>
      </w:r>
      <w:r>
        <w:rPr>
          <w:bCs/>
        </w:rPr>
        <w:t>Ainda neste trabalho (SOUZA ET AL., 2015)</w:t>
      </w:r>
      <w:r w:rsidRPr="00A94194">
        <w:rPr>
          <w:bCs/>
        </w:rPr>
        <w:t>, as experiências foram realizadas em uma junta por posição (2G, 3G e 4G) e a análise da produtividade não poderia ser baseada apenas na velocidade de deposição para este cenário, que é muito conservador, já que não considera as diferenças de manuseio dos insumos e na dinâmica da execução de um processo descontínuo (</w:t>
      </w:r>
      <w:r w:rsidRPr="00A94194">
        <w:rPr>
          <w:bCs/>
          <w:i/>
        </w:rPr>
        <w:t>SMAW</w:t>
      </w:r>
      <w:r w:rsidRPr="00A94194">
        <w:rPr>
          <w:bCs/>
        </w:rPr>
        <w:t>) em relação a um processo contínuo (</w:t>
      </w:r>
      <w:r w:rsidRPr="00A94194">
        <w:rPr>
          <w:bCs/>
          <w:i/>
        </w:rPr>
        <w:t>FCAW</w:t>
      </w:r>
      <w:r w:rsidRPr="00A94194">
        <w:rPr>
          <w:bCs/>
        </w:rPr>
        <w:t>-s).</w:t>
      </w:r>
    </w:p>
    <w:p w:rsidR="00A94194" w:rsidRDefault="00A94194" w:rsidP="00A94194">
      <w:pPr>
        <w:shd w:val="clear" w:color="auto" w:fill="FFFFFF"/>
        <w:tabs>
          <w:tab w:val="left" w:pos="1203"/>
        </w:tabs>
        <w:ind w:firstLine="708"/>
        <w:jc w:val="both"/>
        <w:textAlignment w:val="top"/>
        <w:rPr>
          <w:bCs/>
        </w:rPr>
      </w:pPr>
    </w:p>
    <w:tbl>
      <w:tblPr>
        <w:tblStyle w:val="Tabelacomgrade"/>
        <w:tblW w:w="0" w:type="auto"/>
        <w:tblLook w:val="04A0" w:firstRow="1" w:lastRow="0" w:firstColumn="1" w:lastColumn="0" w:noHBand="0" w:noVBand="1"/>
      </w:tblPr>
      <w:tblGrid>
        <w:gridCol w:w="3539"/>
        <w:gridCol w:w="920"/>
        <w:gridCol w:w="920"/>
        <w:gridCol w:w="921"/>
        <w:gridCol w:w="920"/>
        <w:gridCol w:w="920"/>
        <w:gridCol w:w="921"/>
      </w:tblGrid>
      <w:tr w:rsidR="00A94194" w:rsidTr="001D0867">
        <w:tc>
          <w:tcPr>
            <w:tcW w:w="3539" w:type="dxa"/>
            <w:vMerge w:val="restart"/>
            <w:tcBorders>
              <w:left w:val="nil"/>
              <w:bottom w:val="nil"/>
              <w:right w:val="nil"/>
            </w:tcBorders>
            <w:vAlign w:val="center"/>
          </w:tcPr>
          <w:p w:rsidR="00A94194" w:rsidRPr="00A94194" w:rsidRDefault="00A94194" w:rsidP="00A94194">
            <w:pPr>
              <w:pStyle w:val="Corpodetexto"/>
              <w:suppressAutoHyphens/>
              <w:spacing w:line="240" w:lineRule="auto"/>
              <w:contextualSpacing/>
              <w:jc w:val="center"/>
              <w:rPr>
                <w:b/>
                <w:bCs/>
                <w:sz w:val="20"/>
                <w:szCs w:val="20"/>
              </w:rPr>
            </w:pPr>
            <w:r w:rsidRPr="00A94194">
              <w:rPr>
                <w:b/>
                <w:sz w:val="20"/>
                <w:szCs w:val="20"/>
              </w:rPr>
              <w:t>Variável</w:t>
            </w:r>
          </w:p>
        </w:tc>
        <w:tc>
          <w:tcPr>
            <w:tcW w:w="2761" w:type="dxa"/>
            <w:gridSpan w:val="3"/>
            <w:tcBorders>
              <w:left w:val="nil"/>
              <w:bottom w:val="single" w:sz="4" w:space="0" w:color="auto"/>
              <w:right w:val="nil"/>
            </w:tcBorders>
            <w:vAlign w:val="center"/>
          </w:tcPr>
          <w:p w:rsidR="00A94194" w:rsidRPr="00A94194" w:rsidRDefault="00A94194" w:rsidP="00A94194">
            <w:pPr>
              <w:pStyle w:val="Corpodetexto"/>
              <w:suppressAutoHyphens/>
              <w:spacing w:line="240" w:lineRule="auto"/>
              <w:contextualSpacing/>
              <w:jc w:val="center"/>
              <w:rPr>
                <w:b/>
                <w:bCs/>
                <w:i/>
                <w:sz w:val="20"/>
                <w:szCs w:val="20"/>
              </w:rPr>
            </w:pPr>
            <w:r w:rsidRPr="00A94194">
              <w:rPr>
                <w:b/>
                <w:i/>
                <w:sz w:val="20"/>
                <w:szCs w:val="20"/>
              </w:rPr>
              <w:t>SMAW</w:t>
            </w:r>
          </w:p>
        </w:tc>
        <w:tc>
          <w:tcPr>
            <w:tcW w:w="2761" w:type="dxa"/>
            <w:gridSpan w:val="3"/>
            <w:tcBorders>
              <w:left w:val="nil"/>
              <w:bottom w:val="single" w:sz="4" w:space="0" w:color="auto"/>
              <w:right w:val="nil"/>
            </w:tcBorders>
            <w:vAlign w:val="center"/>
          </w:tcPr>
          <w:p w:rsidR="00A94194" w:rsidRPr="00A94194" w:rsidRDefault="00A94194" w:rsidP="00A94194">
            <w:pPr>
              <w:pStyle w:val="Corpodetexto"/>
              <w:suppressAutoHyphens/>
              <w:spacing w:line="240" w:lineRule="auto"/>
              <w:contextualSpacing/>
              <w:jc w:val="center"/>
              <w:rPr>
                <w:b/>
                <w:bCs/>
                <w:i/>
                <w:sz w:val="20"/>
                <w:szCs w:val="20"/>
              </w:rPr>
            </w:pPr>
            <w:r w:rsidRPr="00A94194">
              <w:rPr>
                <w:b/>
                <w:i/>
                <w:sz w:val="20"/>
                <w:szCs w:val="20"/>
              </w:rPr>
              <w:t>FCAW-s</w:t>
            </w:r>
          </w:p>
        </w:tc>
      </w:tr>
      <w:tr w:rsidR="00A94194" w:rsidTr="001D0867">
        <w:tc>
          <w:tcPr>
            <w:tcW w:w="3539" w:type="dxa"/>
            <w:vMerge/>
            <w:tcBorders>
              <w:top w:val="nil"/>
              <w:left w:val="nil"/>
              <w:bottom w:val="single" w:sz="4" w:space="0" w:color="auto"/>
              <w:right w:val="nil"/>
            </w:tcBorders>
          </w:tcPr>
          <w:p w:rsidR="00A94194" w:rsidRDefault="00A94194" w:rsidP="00A94194">
            <w:pPr>
              <w:pStyle w:val="Corpodetexto"/>
              <w:suppressAutoHyphens/>
              <w:spacing w:line="240" w:lineRule="auto"/>
              <w:contextualSpacing/>
              <w:rPr>
                <w:b/>
                <w:bCs/>
                <w:sz w:val="20"/>
                <w:szCs w:val="20"/>
              </w:rPr>
            </w:pPr>
          </w:p>
        </w:tc>
        <w:tc>
          <w:tcPr>
            <w:tcW w:w="920"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2G</w:t>
            </w:r>
          </w:p>
        </w:tc>
        <w:tc>
          <w:tcPr>
            <w:tcW w:w="920"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4G</w:t>
            </w:r>
          </w:p>
        </w:tc>
        <w:tc>
          <w:tcPr>
            <w:tcW w:w="921"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2G/3G</w:t>
            </w:r>
          </w:p>
        </w:tc>
        <w:tc>
          <w:tcPr>
            <w:tcW w:w="920"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2G</w:t>
            </w:r>
          </w:p>
        </w:tc>
        <w:tc>
          <w:tcPr>
            <w:tcW w:w="920"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4G</w:t>
            </w:r>
          </w:p>
        </w:tc>
        <w:tc>
          <w:tcPr>
            <w:tcW w:w="921" w:type="dxa"/>
            <w:tcBorders>
              <w:top w:val="single" w:sz="4" w:space="0" w:color="auto"/>
              <w:left w:val="nil"/>
              <w:bottom w:val="single" w:sz="4" w:space="0" w:color="auto"/>
              <w:right w:val="nil"/>
            </w:tcBorders>
            <w:vAlign w:val="center"/>
          </w:tcPr>
          <w:p w:rsidR="00A94194" w:rsidRPr="00DD18FE" w:rsidRDefault="00A94194" w:rsidP="00A94194">
            <w:pPr>
              <w:pStyle w:val="Corpodetexto"/>
              <w:suppressAutoHyphens/>
              <w:spacing w:line="240" w:lineRule="auto"/>
              <w:contextualSpacing/>
              <w:jc w:val="center"/>
              <w:rPr>
                <w:bCs/>
                <w:sz w:val="20"/>
                <w:szCs w:val="20"/>
              </w:rPr>
            </w:pPr>
            <w:r w:rsidRPr="00DD18FE">
              <w:rPr>
                <w:sz w:val="20"/>
                <w:szCs w:val="20"/>
              </w:rPr>
              <w:t>2G/3G</w:t>
            </w:r>
          </w:p>
        </w:tc>
      </w:tr>
      <w:tr w:rsidR="00A94194" w:rsidTr="001D0867">
        <w:tc>
          <w:tcPr>
            <w:tcW w:w="3539" w:type="dxa"/>
            <w:tcBorders>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Tamanho da ZTA</w:t>
            </w:r>
            <w:r>
              <w:rPr>
                <w:sz w:val="20"/>
                <w:szCs w:val="20"/>
              </w:rPr>
              <w:t xml:space="preserve"> (mm)</w:t>
            </w:r>
          </w:p>
        </w:tc>
        <w:tc>
          <w:tcPr>
            <w:tcW w:w="920"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2,9</w:t>
            </w:r>
          </w:p>
        </w:tc>
        <w:tc>
          <w:tcPr>
            <w:tcW w:w="920"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2,1</w:t>
            </w:r>
          </w:p>
        </w:tc>
        <w:tc>
          <w:tcPr>
            <w:tcW w:w="921"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2,2</w:t>
            </w:r>
          </w:p>
        </w:tc>
        <w:tc>
          <w:tcPr>
            <w:tcW w:w="920"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2,3</w:t>
            </w:r>
          </w:p>
        </w:tc>
        <w:tc>
          <w:tcPr>
            <w:tcW w:w="920"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2,6</w:t>
            </w:r>
          </w:p>
        </w:tc>
        <w:tc>
          <w:tcPr>
            <w:tcW w:w="921" w:type="dxa"/>
            <w:tcBorders>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1,8</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Temperatura da ZTA</w:t>
            </w:r>
            <w:r>
              <w:rPr>
                <w:sz w:val="20"/>
                <w:szCs w:val="20"/>
              </w:rPr>
              <w:t xml:space="preserve"> (mm</w:t>
            </w:r>
            <w:r w:rsidRPr="00DD18FE">
              <w:rPr>
                <w:sz w:val="20"/>
                <w:szCs w:val="20"/>
              </w:rPr>
              <w:t>)</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245</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425</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400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250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400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350</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Dureza média metal base</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81</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81</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80</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Dureza média metal de adição</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92</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92</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92</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92</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Dureza média ZTA</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89</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89</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89</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90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89</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sidRPr="00DD18FE">
              <w:rPr>
                <w:sz w:val="20"/>
                <w:szCs w:val="20"/>
              </w:rPr>
              <w:t>Resistência à tração</w:t>
            </w:r>
            <w:r>
              <w:rPr>
                <w:sz w:val="20"/>
                <w:szCs w:val="20"/>
              </w:rPr>
              <w:t xml:space="preserve"> (MPa)</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260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250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265</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210</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250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350</w:t>
            </w:r>
          </w:p>
        </w:tc>
      </w:tr>
      <w:tr w:rsidR="00A94194" w:rsidTr="001D0867">
        <w:tc>
          <w:tcPr>
            <w:tcW w:w="3539" w:type="dxa"/>
            <w:tcBorders>
              <w:top w:val="nil"/>
              <w:left w:val="nil"/>
              <w:bottom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Pr>
                <w:sz w:val="20"/>
                <w:szCs w:val="20"/>
              </w:rPr>
              <w:t>Aporte térmico (KJ/mm)</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10,5</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7,47</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7,23</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5,84</w:t>
            </w:r>
          </w:p>
        </w:tc>
        <w:tc>
          <w:tcPr>
            <w:tcW w:w="920"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7,20</w:t>
            </w:r>
          </w:p>
        </w:tc>
        <w:tc>
          <w:tcPr>
            <w:tcW w:w="921" w:type="dxa"/>
            <w:tcBorders>
              <w:top w:val="nil"/>
              <w:left w:val="nil"/>
              <w:bottom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5,20</w:t>
            </w:r>
          </w:p>
        </w:tc>
      </w:tr>
      <w:tr w:rsidR="00A94194" w:rsidTr="001D0867">
        <w:tc>
          <w:tcPr>
            <w:tcW w:w="3539" w:type="dxa"/>
            <w:tcBorders>
              <w:top w:val="nil"/>
              <w:left w:val="nil"/>
              <w:right w:val="nil"/>
            </w:tcBorders>
            <w:vAlign w:val="center"/>
          </w:tcPr>
          <w:p w:rsidR="00A94194" w:rsidRDefault="00A94194" w:rsidP="00A94194">
            <w:pPr>
              <w:pStyle w:val="Corpodetexto"/>
              <w:suppressAutoHyphens/>
              <w:spacing w:line="240" w:lineRule="auto"/>
              <w:contextualSpacing/>
              <w:jc w:val="right"/>
              <w:rPr>
                <w:b/>
                <w:bCs/>
                <w:sz w:val="20"/>
                <w:szCs w:val="20"/>
              </w:rPr>
            </w:pPr>
            <w:r>
              <w:rPr>
                <w:sz w:val="20"/>
                <w:szCs w:val="20"/>
              </w:rPr>
              <w:t>Metal depositado (g/min.)</w:t>
            </w:r>
          </w:p>
        </w:tc>
        <w:tc>
          <w:tcPr>
            <w:tcW w:w="920"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21,03</w:t>
            </w:r>
          </w:p>
        </w:tc>
        <w:tc>
          <w:tcPr>
            <w:tcW w:w="920"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18,72</w:t>
            </w:r>
          </w:p>
        </w:tc>
        <w:tc>
          <w:tcPr>
            <w:tcW w:w="921"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16,14</w:t>
            </w:r>
          </w:p>
        </w:tc>
        <w:tc>
          <w:tcPr>
            <w:tcW w:w="920"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34,04</w:t>
            </w:r>
          </w:p>
        </w:tc>
        <w:tc>
          <w:tcPr>
            <w:tcW w:w="920"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27,94</w:t>
            </w:r>
          </w:p>
        </w:tc>
        <w:tc>
          <w:tcPr>
            <w:tcW w:w="921" w:type="dxa"/>
            <w:tcBorders>
              <w:top w:val="nil"/>
              <w:left w:val="nil"/>
              <w:right w:val="nil"/>
            </w:tcBorders>
          </w:tcPr>
          <w:p w:rsidR="00A94194" w:rsidRDefault="00A94194" w:rsidP="00A94194">
            <w:pPr>
              <w:pStyle w:val="Corpodetexto"/>
              <w:suppressAutoHyphens/>
              <w:spacing w:line="240" w:lineRule="auto"/>
              <w:contextualSpacing/>
              <w:jc w:val="center"/>
              <w:rPr>
                <w:b/>
                <w:bCs/>
                <w:sz w:val="20"/>
                <w:szCs w:val="20"/>
              </w:rPr>
            </w:pPr>
            <w:r>
              <w:rPr>
                <w:sz w:val="20"/>
                <w:szCs w:val="20"/>
              </w:rPr>
              <w:t>35,32</w:t>
            </w:r>
          </w:p>
        </w:tc>
      </w:tr>
    </w:tbl>
    <w:p w:rsidR="00A94194" w:rsidRDefault="00A94194" w:rsidP="00A94194">
      <w:pPr>
        <w:tabs>
          <w:tab w:val="left" w:pos="567"/>
        </w:tabs>
        <w:jc w:val="center"/>
        <w:rPr>
          <w:sz w:val="22"/>
          <w:szCs w:val="22"/>
        </w:rPr>
      </w:pPr>
    </w:p>
    <w:p w:rsidR="00A94194" w:rsidRDefault="00A94194" w:rsidP="00A94194">
      <w:pPr>
        <w:tabs>
          <w:tab w:val="left" w:pos="567"/>
        </w:tabs>
        <w:jc w:val="center"/>
        <w:rPr>
          <w:bCs/>
        </w:rPr>
      </w:pPr>
      <w:r w:rsidRPr="00A94194">
        <w:rPr>
          <w:sz w:val="22"/>
          <w:szCs w:val="22"/>
        </w:rPr>
        <w:t>Tabela 1. Resultados numéricos das experiências comparativas</w:t>
      </w:r>
      <w:r>
        <w:rPr>
          <w:sz w:val="22"/>
          <w:szCs w:val="22"/>
        </w:rPr>
        <w:t xml:space="preserve"> (</w:t>
      </w:r>
      <w:r w:rsidRPr="00A94194">
        <w:rPr>
          <w:sz w:val="22"/>
          <w:szCs w:val="22"/>
        </w:rPr>
        <w:t>SOUZA ET AL., 2015</w:t>
      </w:r>
      <w:r>
        <w:rPr>
          <w:sz w:val="22"/>
          <w:szCs w:val="22"/>
        </w:rPr>
        <w:t>)</w:t>
      </w:r>
      <w:r w:rsidRPr="00A94194">
        <w:rPr>
          <w:sz w:val="22"/>
          <w:szCs w:val="22"/>
        </w:rPr>
        <w:t>.</w:t>
      </w:r>
    </w:p>
    <w:p w:rsidR="005928EB" w:rsidRDefault="005928EB" w:rsidP="00415976">
      <w:pPr>
        <w:shd w:val="clear" w:color="auto" w:fill="FFFFFF"/>
        <w:ind w:firstLine="708"/>
        <w:jc w:val="both"/>
        <w:textAlignment w:val="top"/>
        <w:rPr>
          <w:bCs/>
        </w:rPr>
      </w:pPr>
    </w:p>
    <w:p w:rsidR="00A94194" w:rsidRDefault="00A94194" w:rsidP="00415976">
      <w:pPr>
        <w:shd w:val="clear" w:color="auto" w:fill="FFFFFF"/>
        <w:ind w:firstLine="708"/>
        <w:jc w:val="both"/>
        <w:textAlignment w:val="top"/>
        <w:rPr>
          <w:bCs/>
        </w:rPr>
      </w:pPr>
      <w:r w:rsidRPr="00A94194">
        <w:rPr>
          <w:bCs/>
        </w:rPr>
        <w:t xml:space="preserve">Durante a participação nas obras de expansão do TIPLAM, inúmeras soluções adicionais foram planejadas e posteriormente implementadas analisando-se o processo melhorado pelo uso da soldagem </w:t>
      </w:r>
      <w:r w:rsidRPr="00A94194">
        <w:rPr>
          <w:bCs/>
          <w:i/>
        </w:rPr>
        <w:t>FCAW</w:t>
      </w:r>
      <w:r w:rsidRPr="00A94194">
        <w:rPr>
          <w:bCs/>
        </w:rPr>
        <w:t>-s. Em todos os casos, o objetivo foi empregar o Método do Caminho Crítico para determinar etapas ou operações que criassem ‘gargalos’ na produção de modo a substituí-los por operações mais enxutas e produtivas. A Figura 7 ilustra dois exemplos de práticas adotadas que incrementaram ainda mais a produtividade em campo:</w:t>
      </w:r>
    </w:p>
    <w:p w:rsidR="00A94194" w:rsidRPr="00A94194" w:rsidRDefault="00A94194" w:rsidP="00A94194">
      <w:pPr>
        <w:pStyle w:val="PargrafodaLista"/>
        <w:numPr>
          <w:ilvl w:val="0"/>
          <w:numId w:val="15"/>
        </w:numPr>
        <w:spacing w:after="0" w:line="240" w:lineRule="auto"/>
        <w:jc w:val="both"/>
        <w:rPr>
          <w:rFonts w:ascii="Arial" w:hAnsi="Arial" w:cs="Arial"/>
          <w:sz w:val="24"/>
          <w:szCs w:val="24"/>
        </w:rPr>
      </w:pPr>
      <w:proofErr w:type="gramStart"/>
      <w:r w:rsidRPr="00A94194">
        <w:rPr>
          <w:rFonts w:ascii="Arial" w:hAnsi="Arial" w:cs="Arial"/>
          <w:sz w:val="24"/>
          <w:szCs w:val="24"/>
        </w:rPr>
        <w:t>linha</w:t>
      </w:r>
      <w:proofErr w:type="gramEnd"/>
      <w:r w:rsidRPr="00A94194">
        <w:rPr>
          <w:rFonts w:ascii="Arial" w:hAnsi="Arial" w:cs="Arial"/>
          <w:sz w:val="24"/>
          <w:szCs w:val="24"/>
        </w:rPr>
        <w:t xml:space="preserve"> de preparação de perfis, tipo </w:t>
      </w:r>
      <w:proofErr w:type="spellStart"/>
      <w:r w:rsidRPr="00A94194">
        <w:rPr>
          <w:rFonts w:ascii="Arial" w:hAnsi="Arial" w:cs="Arial"/>
          <w:i/>
          <w:sz w:val="24"/>
          <w:szCs w:val="24"/>
        </w:rPr>
        <w:t>Pipe</w:t>
      </w:r>
      <w:proofErr w:type="spellEnd"/>
      <w:r w:rsidRPr="00A94194">
        <w:rPr>
          <w:rFonts w:ascii="Arial" w:hAnsi="Arial" w:cs="Arial"/>
          <w:i/>
          <w:sz w:val="24"/>
          <w:szCs w:val="24"/>
        </w:rPr>
        <w:t xml:space="preserve"> shop</w:t>
      </w:r>
      <w:r w:rsidRPr="00A94194">
        <w:rPr>
          <w:rFonts w:ascii="Arial" w:hAnsi="Arial" w:cs="Arial"/>
          <w:sz w:val="24"/>
          <w:szCs w:val="24"/>
        </w:rPr>
        <w:t xml:space="preserve"> - instalação metalúrgica de canteiro para fabricação de estruturas metálicas, suportes, tubulações, etc.</w:t>
      </w:r>
    </w:p>
    <w:p w:rsidR="00A94194" w:rsidRPr="00A94194" w:rsidRDefault="00A94194" w:rsidP="00A94194">
      <w:pPr>
        <w:pStyle w:val="PargrafodaLista"/>
        <w:numPr>
          <w:ilvl w:val="0"/>
          <w:numId w:val="15"/>
        </w:numPr>
        <w:spacing w:after="0" w:line="240" w:lineRule="auto"/>
        <w:jc w:val="both"/>
        <w:rPr>
          <w:rFonts w:ascii="Arial" w:hAnsi="Arial" w:cs="Arial"/>
          <w:sz w:val="24"/>
          <w:szCs w:val="24"/>
        </w:rPr>
      </w:pPr>
      <w:proofErr w:type="gramStart"/>
      <w:r w:rsidRPr="00A94194">
        <w:rPr>
          <w:rFonts w:ascii="Arial" w:hAnsi="Arial" w:cs="Arial"/>
          <w:sz w:val="24"/>
          <w:szCs w:val="24"/>
        </w:rPr>
        <w:t>dispositivos</w:t>
      </w:r>
      <w:proofErr w:type="gramEnd"/>
      <w:r w:rsidRPr="00A94194">
        <w:rPr>
          <w:rFonts w:ascii="Arial" w:hAnsi="Arial" w:cs="Arial"/>
          <w:sz w:val="24"/>
          <w:szCs w:val="24"/>
        </w:rPr>
        <w:t xml:space="preserve"> de posicionamento e alinhamento de talas para </w:t>
      </w:r>
      <w:proofErr w:type="spellStart"/>
      <w:r w:rsidRPr="00A94194">
        <w:rPr>
          <w:rFonts w:ascii="Arial" w:hAnsi="Arial" w:cs="Arial"/>
          <w:sz w:val="24"/>
          <w:szCs w:val="24"/>
        </w:rPr>
        <w:t>ponteamento</w:t>
      </w:r>
      <w:proofErr w:type="spellEnd"/>
      <w:r w:rsidRPr="00A94194">
        <w:rPr>
          <w:rFonts w:ascii="Arial" w:hAnsi="Arial" w:cs="Arial"/>
          <w:sz w:val="24"/>
          <w:szCs w:val="24"/>
        </w:rPr>
        <w:t xml:space="preserve"> facilitado.</w:t>
      </w:r>
    </w:p>
    <w:p w:rsidR="00A94194" w:rsidRDefault="00A94194" w:rsidP="00415976">
      <w:pPr>
        <w:shd w:val="clear" w:color="auto" w:fill="FFFFFF"/>
        <w:ind w:firstLine="708"/>
        <w:jc w:val="both"/>
        <w:textAlignment w:val="top"/>
        <w:rPr>
          <w:bCs/>
        </w:rPr>
      </w:pPr>
    </w:p>
    <w:p w:rsidR="00A94194" w:rsidRDefault="00A94194" w:rsidP="00415976">
      <w:pPr>
        <w:shd w:val="clear" w:color="auto" w:fill="FFFFFF"/>
        <w:ind w:firstLine="708"/>
        <w:jc w:val="both"/>
        <w:textAlignment w:val="top"/>
        <w:rPr>
          <w:bC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41"/>
      </w:tblGrid>
      <w:tr w:rsidR="00A94194" w:rsidTr="001D0867">
        <w:tc>
          <w:tcPr>
            <w:tcW w:w="4820" w:type="dxa"/>
          </w:tcPr>
          <w:p w:rsidR="00A94194" w:rsidRDefault="00A94194" w:rsidP="001D0867">
            <w:pPr>
              <w:jc w:val="center"/>
            </w:pPr>
            <w:r>
              <w:rPr>
                <w:rFonts w:ascii="Verdana" w:eastAsia="Calibri" w:hAnsi="Verdana" w:cs="Times New Roman"/>
                <w:noProof/>
                <w:color w:val="333333"/>
                <w:sz w:val="18"/>
                <w:szCs w:val="18"/>
              </w:rPr>
              <w:drawing>
                <wp:inline distT="0" distB="0" distL="0" distR="0" wp14:anchorId="3F635A03" wp14:editId="6180F689">
                  <wp:extent cx="1897451" cy="1080000"/>
                  <wp:effectExtent l="0" t="0" r="7620" b="6350"/>
                  <wp:docPr id="18" name="Imagem 18" descr="C:\Users\WillyAnk\Documents\+ INSPEBRAS\+ NEWSLETTER\2016\Março\Fotos\RIo - 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llyAnk\Documents\+ INSPEBRAS\+ NEWSLETTER\2016\Março\Fotos\RIo - 0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97451" cy="1080000"/>
                          </a:xfrm>
                          <a:prstGeom prst="rect">
                            <a:avLst/>
                          </a:prstGeom>
                          <a:noFill/>
                          <a:ln>
                            <a:noFill/>
                          </a:ln>
                        </pic:spPr>
                      </pic:pic>
                    </a:graphicData>
                  </a:graphic>
                </wp:inline>
              </w:drawing>
            </w:r>
          </w:p>
        </w:tc>
        <w:tc>
          <w:tcPr>
            <w:tcW w:w="4241" w:type="dxa"/>
          </w:tcPr>
          <w:p w:rsidR="00A94194" w:rsidRDefault="00A94194" w:rsidP="001D0867">
            <w:pPr>
              <w:jc w:val="center"/>
            </w:pPr>
            <w:r>
              <w:rPr>
                <w:noProof/>
              </w:rPr>
              <w:drawing>
                <wp:inline distT="0" distB="0" distL="0" distR="0" wp14:anchorId="2B7ED09E" wp14:editId="3B1617FD">
                  <wp:extent cx="1375783" cy="1080000"/>
                  <wp:effectExtent l="0" t="0" r="0" b="6350"/>
                  <wp:docPr id="7" name="Imagem 7" descr="C:\Users\WillyAnk\Documents\ARTIGOS\2016\ABM Week\29999 - INOFAST\Figur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llyAnk\Documents\ARTIGOS\2016\ABM Week\29999 - INOFAST\Figura 7.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34267" b="15306"/>
                          <a:stretch/>
                        </pic:blipFill>
                        <pic:spPr bwMode="auto">
                          <a:xfrm>
                            <a:off x="0" y="0"/>
                            <a:ext cx="1375783" cy="108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94194" w:rsidTr="001D0867">
        <w:tc>
          <w:tcPr>
            <w:tcW w:w="4820" w:type="dxa"/>
            <w:vAlign w:val="center"/>
          </w:tcPr>
          <w:p w:rsidR="00A94194" w:rsidRDefault="00A94194" w:rsidP="001D0867">
            <w:pPr>
              <w:spacing w:before="120" w:after="100" w:afterAutospacing="1" w:line="252" w:lineRule="auto"/>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Linha de preparação dos perfis.</w:t>
            </w:r>
          </w:p>
        </w:tc>
        <w:tc>
          <w:tcPr>
            <w:tcW w:w="4241" w:type="dxa"/>
            <w:vAlign w:val="center"/>
          </w:tcPr>
          <w:p w:rsidR="00A94194" w:rsidRDefault="00A94194" w:rsidP="001D0867">
            <w:pPr>
              <w:spacing w:before="120" w:after="100" w:afterAutospacing="1" w:line="252" w:lineRule="auto"/>
              <w:jc w:val="center"/>
              <w:rPr>
                <w:rFonts w:ascii="Verdana" w:eastAsia="Calibri" w:hAnsi="Verdana" w:cs="Times New Roman"/>
                <w:noProof/>
                <w:color w:val="333333"/>
                <w:sz w:val="18"/>
                <w:szCs w:val="18"/>
              </w:rPr>
            </w:pPr>
            <w:r>
              <w:rPr>
                <w:rFonts w:ascii="Verdana" w:eastAsia="Calibri" w:hAnsi="Verdana" w:cs="Times New Roman"/>
                <w:noProof/>
                <w:color w:val="333333"/>
                <w:sz w:val="18"/>
                <w:szCs w:val="18"/>
              </w:rPr>
              <w:t>Dispositivo de posicionamento de talas.</w:t>
            </w:r>
          </w:p>
        </w:tc>
      </w:tr>
    </w:tbl>
    <w:p w:rsidR="00A94194" w:rsidRDefault="00A94194" w:rsidP="00A94194">
      <w:pPr>
        <w:pStyle w:val="Corpodetexto"/>
        <w:suppressAutoHyphens/>
        <w:spacing w:line="240" w:lineRule="auto"/>
        <w:contextualSpacing/>
        <w:jc w:val="center"/>
        <w:rPr>
          <w:bCs/>
          <w:sz w:val="20"/>
          <w:szCs w:val="20"/>
        </w:rPr>
      </w:pPr>
    </w:p>
    <w:p w:rsidR="00A94194" w:rsidRPr="007722C2" w:rsidRDefault="00A94194" w:rsidP="00A94194">
      <w:pPr>
        <w:pStyle w:val="Corpodetexto"/>
        <w:suppressAutoHyphens/>
        <w:spacing w:line="240" w:lineRule="auto"/>
        <w:contextualSpacing/>
        <w:jc w:val="center"/>
        <w:rPr>
          <w:b/>
          <w:bCs/>
        </w:rPr>
      </w:pPr>
      <w:r>
        <w:rPr>
          <w:sz w:val="20"/>
          <w:szCs w:val="20"/>
        </w:rPr>
        <w:t>Figura 7</w:t>
      </w:r>
      <w:r w:rsidRPr="007722C2">
        <w:rPr>
          <w:sz w:val="20"/>
          <w:szCs w:val="20"/>
        </w:rPr>
        <w:t xml:space="preserve">. </w:t>
      </w:r>
      <w:r>
        <w:rPr>
          <w:sz w:val="20"/>
          <w:szCs w:val="20"/>
        </w:rPr>
        <w:t xml:space="preserve">Algumas soluções empregadas em conjunto com o processo </w:t>
      </w:r>
      <w:r w:rsidRPr="00B8034A">
        <w:rPr>
          <w:i/>
          <w:sz w:val="20"/>
          <w:szCs w:val="20"/>
        </w:rPr>
        <w:t>FCAW-</w:t>
      </w:r>
      <w:r>
        <w:rPr>
          <w:i/>
          <w:sz w:val="20"/>
          <w:szCs w:val="20"/>
        </w:rPr>
        <w:t>s</w:t>
      </w:r>
      <w:r>
        <w:rPr>
          <w:sz w:val="20"/>
          <w:szCs w:val="20"/>
        </w:rPr>
        <w:t xml:space="preserve"> para aumentar a produtividade da execução de obras de fundações.</w:t>
      </w:r>
    </w:p>
    <w:p w:rsidR="00A94194" w:rsidRDefault="00A94194" w:rsidP="00415976">
      <w:pPr>
        <w:shd w:val="clear" w:color="auto" w:fill="FFFFFF"/>
        <w:ind w:firstLine="708"/>
        <w:jc w:val="both"/>
        <w:textAlignment w:val="top"/>
        <w:rPr>
          <w:bCs/>
        </w:rPr>
      </w:pPr>
    </w:p>
    <w:p w:rsidR="00A94194" w:rsidRDefault="00A94194" w:rsidP="00415976">
      <w:pPr>
        <w:shd w:val="clear" w:color="auto" w:fill="FFFFFF"/>
        <w:ind w:firstLine="708"/>
        <w:jc w:val="both"/>
        <w:textAlignment w:val="top"/>
        <w:rPr>
          <w:bCs/>
        </w:rPr>
      </w:pPr>
      <w:r w:rsidRPr="00A94194">
        <w:rPr>
          <w:bCs/>
        </w:rPr>
        <w:lastRenderedPageBreak/>
        <w:t>Após o primeiro teste de campo, o conjunto de técnicas de execução de emendas em estacas metálicas foram agrupadas ao redor do nome INO///FAST</w:t>
      </w:r>
      <w:r w:rsidRPr="00A94194">
        <w:rPr>
          <w:bCs/>
          <w:vertAlign w:val="superscript"/>
        </w:rPr>
        <w:t>®</w:t>
      </w:r>
      <w:r w:rsidRPr="00A94194">
        <w:rPr>
          <w:bCs/>
        </w:rPr>
        <w:t>, que está sendo empregado em outras frentes de obras. A Tabela 2 apresenta os últimos resultados comparativos obtidos em campo, entre o INO///FAST</w:t>
      </w:r>
      <w:r w:rsidRPr="00A94194">
        <w:rPr>
          <w:bCs/>
          <w:vertAlign w:val="superscript"/>
        </w:rPr>
        <w:t>®</w:t>
      </w:r>
      <w:r w:rsidRPr="00A94194">
        <w:rPr>
          <w:bCs/>
        </w:rPr>
        <w:t xml:space="preserve"> e os processos padrão, empregados por empresas “A” e “B”, através da soldagem </w:t>
      </w:r>
      <w:r w:rsidRPr="00A94194">
        <w:rPr>
          <w:bCs/>
          <w:i/>
        </w:rPr>
        <w:t>SMAW</w:t>
      </w:r>
      <w:r w:rsidRPr="00A94194">
        <w:rPr>
          <w:bCs/>
        </w:rPr>
        <w:t>, sem as soluções desenvolvidas neste trabalho.</w:t>
      </w:r>
    </w:p>
    <w:p w:rsidR="00A94194" w:rsidRDefault="00A94194" w:rsidP="00415976">
      <w:pPr>
        <w:shd w:val="clear" w:color="auto" w:fill="FFFFFF"/>
        <w:ind w:firstLine="708"/>
        <w:jc w:val="both"/>
        <w:textAlignment w:val="top"/>
        <w:rPr>
          <w:bCs/>
        </w:rPr>
      </w:pPr>
    </w:p>
    <w:tbl>
      <w:tblPr>
        <w:tblW w:w="9072" w:type="dxa"/>
        <w:tblLayout w:type="fixed"/>
        <w:tblCellMar>
          <w:left w:w="70" w:type="dxa"/>
          <w:right w:w="70" w:type="dxa"/>
        </w:tblCellMar>
        <w:tblLook w:val="04A0" w:firstRow="1" w:lastRow="0" w:firstColumn="1" w:lastColumn="0" w:noHBand="0" w:noVBand="1"/>
      </w:tblPr>
      <w:tblGrid>
        <w:gridCol w:w="2456"/>
        <w:gridCol w:w="1040"/>
        <w:gridCol w:w="1040"/>
        <w:gridCol w:w="1536"/>
        <w:gridCol w:w="785"/>
        <w:gridCol w:w="785"/>
        <w:gridCol w:w="1430"/>
      </w:tblGrid>
      <w:tr w:rsidR="00A94194" w:rsidRPr="00620138" w:rsidTr="001D0867">
        <w:trPr>
          <w:trHeight w:val="300"/>
        </w:trPr>
        <w:tc>
          <w:tcPr>
            <w:tcW w:w="2456"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rPr>
                <w:rFonts w:ascii="Times New Roman" w:hAnsi="Times New Roman" w:cs="Times New Roman"/>
                <w:sz w:val="20"/>
                <w:szCs w:val="20"/>
              </w:rPr>
            </w:pPr>
          </w:p>
        </w:tc>
        <w:tc>
          <w:tcPr>
            <w:tcW w:w="3616" w:type="dxa"/>
            <w:gridSpan w:val="3"/>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b/>
                <w:color w:val="000000"/>
                <w:sz w:val="22"/>
                <w:szCs w:val="22"/>
              </w:rPr>
            </w:pPr>
            <w:r w:rsidRPr="00620138">
              <w:rPr>
                <w:rFonts w:ascii="Calibri" w:hAnsi="Calibri" w:cs="Times New Roman"/>
                <w:b/>
                <w:color w:val="000000"/>
                <w:sz w:val="22"/>
                <w:szCs w:val="22"/>
              </w:rPr>
              <w:t>Desde o início dos trabalhos</w:t>
            </w:r>
          </w:p>
        </w:tc>
        <w:tc>
          <w:tcPr>
            <w:tcW w:w="3000" w:type="dxa"/>
            <w:gridSpan w:val="3"/>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b/>
                <w:color w:val="000000"/>
                <w:sz w:val="22"/>
                <w:szCs w:val="22"/>
              </w:rPr>
            </w:pPr>
            <w:r w:rsidRPr="00620138">
              <w:rPr>
                <w:rFonts w:ascii="Calibri" w:hAnsi="Calibri" w:cs="Times New Roman"/>
                <w:b/>
                <w:color w:val="000000"/>
                <w:sz w:val="22"/>
                <w:szCs w:val="22"/>
              </w:rPr>
              <w:t>Mês de Abril</w:t>
            </w:r>
            <w:r>
              <w:rPr>
                <w:rFonts w:ascii="Calibri" w:hAnsi="Calibri" w:cs="Times New Roman"/>
                <w:b/>
                <w:color w:val="000000"/>
                <w:sz w:val="22"/>
                <w:szCs w:val="22"/>
              </w:rPr>
              <w:t xml:space="preserve"> de 2016</w:t>
            </w:r>
          </w:p>
        </w:tc>
      </w:tr>
      <w:tr w:rsidR="00A94194" w:rsidRPr="00620138" w:rsidTr="001D0867">
        <w:trPr>
          <w:trHeight w:val="300"/>
        </w:trPr>
        <w:tc>
          <w:tcPr>
            <w:tcW w:w="2456"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p>
        </w:tc>
        <w:tc>
          <w:tcPr>
            <w:tcW w:w="1040"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A</w:t>
            </w:r>
          </w:p>
        </w:tc>
        <w:tc>
          <w:tcPr>
            <w:tcW w:w="1040"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B</w:t>
            </w:r>
          </w:p>
        </w:tc>
        <w:tc>
          <w:tcPr>
            <w:tcW w:w="1536"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i/>
                <w:color w:val="000000"/>
                <w:sz w:val="22"/>
                <w:szCs w:val="22"/>
              </w:rPr>
              <w:t>INO</w:t>
            </w:r>
            <w:r w:rsidRPr="00620138">
              <w:rPr>
                <w:rFonts w:ascii="Calibri" w:hAnsi="Calibri" w:cs="Times New Roman"/>
                <w:color w:val="000000"/>
                <w:sz w:val="22"/>
                <w:szCs w:val="22"/>
              </w:rPr>
              <w:t>///FAST</w:t>
            </w:r>
            <w:r>
              <w:rPr>
                <w:rFonts w:ascii="Calibri" w:hAnsi="Calibri" w:cs="Times New Roman"/>
                <w:color w:val="000000"/>
                <w:sz w:val="22"/>
                <w:szCs w:val="22"/>
              </w:rPr>
              <w:t>®</w:t>
            </w:r>
          </w:p>
        </w:tc>
        <w:tc>
          <w:tcPr>
            <w:tcW w:w="785"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A</w:t>
            </w:r>
          </w:p>
        </w:tc>
        <w:tc>
          <w:tcPr>
            <w:tcW w:w="785"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B</w:t>
            </w:r>
          </w:p>
        </w:tc>
        <w:tc>
          <w:tcPr>
            <w:tcW w:w="1430" w:type="dxa"/>
            <w:tcBorders>
              <w:top w:val="single" w:sz="4" w:space="0" w:color="auto"/>
              <w:left w:val="nil"/>
              <w:bottom w:val="single" w:sz="4" w:space="0" w:color="auto"/>
              <w:right w:val="nil"/>
            </w:tcBorders>
            <w:shd w:val="clear" w:color="auto" w:fill="F2F2F2" w:themeFill="background1" w:themeFillShade="F2"/>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i/>
                <w:color w:val="000000"/>
                <w:sz w:val="22"/>
                <w:szCs w:val="22"/>
              </w:rPr>
              <w:t>INO</w:t>
            </w:r>
            <w:r w:rsidRPr="00620138">
              <w:rPr>
                <w:rFonts w:ascii="Calibri" w:hAnsi="Calibri" w:cs="Times New Roman"/>
                <w:color w:val="000000"/>
                <w:sz w:val="22"/>
                <w:szCs w:val="22"/>
              </w:rPr>
              <w:t>///FAST</w:t>
            </w:r>
            <w:r>
              <w:rPr>
                <w:rFonts w:ascii="Calibri" w:hAnsi="Calibri" w:cs="Times New Roman"/>
                <w:color w:val="000000"/>
                <w:sz w:val="22"/>
                <w:szCs w:val="22"/>
              </w:rPr>
              <w:t>®</w:t>
            </w:r>
          </w:p>
        </w:tc>
      </w:tr>
      <w:tr w:rsidR="00A94194" w:rsidRPr="00620138" w:rsidTr="001D0867">
        <w:trPr>
          <w:trHeight w:val="300"/>
        </w:trPr>
        <w:tc>
          <w:tcPr>
            <w:tcW w:w="2456" w:type="dxa"/>
            <w:tcBorders>
              <w:top w:val="single" w:sz="4" w:space="0" w:color="auto"/>
              <w:left w:val="nil"/>
              <w:bottom w:val="nil"/>
              <w:right w:val="nil"/>
            </w:tcBorders>
            <w:shd w:val="clear" w:color="auto" w:fill="F2F2F2" w:themeFill="background1" w:themeFillShade="F2"/>
            <w:noWrap/>
            <w:vAlign w:val="bottom"/>
            <w:hideMark/>
          </w:tcPr>
          <w:p w:rsidR="00A94194" w:rsidRPr="00620138" w:rsidRDefault="00A94194" w:rsidP="001D0867">
            <w:pPr>
              <w:jc w:val="right"/>
              <w:rPr>
                <w:rFonts w:ascii="Calibri" w:hAnsi="Calibri" w:cs="Times New Roman"/>
                <w:color w:val="000000"/>
                <w:sz w:val="22"/>
                <w:szCs w:val="22"/>
              </w:rPr>
            </w:pPr>
            <w:r w:rsidRPr="00620138">
              <w:rPr>
                <w:rFonts w:ascii="Calibri" w:hAnsi="Calibri" w:cs="Times New Roman"/>
                <w:color w:val="000000"/>
                <w:sz w:val="22"/>
                <w:szCs w:val="22"/>
              </w:rPr>
              <w:t>Total de emendas</w:t>
            </w:r>
          </w:p>
        </w:tc>
        <w:tc>
          <w:tcPr>
            <w:tcW w:w="1040"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499</w:t>
            </w:r>
          </w:p>
        </w:tc>
        <w:tc>
          <w:tcPr>
            <w:tcW w:w="1040"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852</w:t>
            </w:r>
          </w:p>
        </w:tc>
        <w:tc>
          <w:tcPr>
            <w:tcW w:w="1536"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1206</w:t>
            </w:r>
          </w:p>
        </w:tc>
        <w:tc>
          <w:tcPr>
            <w:tcW w:w="785"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18</w:t>
            </w:r>
          </w:p>
        </w:tc>
        <w:tc>
          <w:tcPr>
            <w:tcW w:w="785"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88</w:t>
            </w:r>
          </w:p>
        </w:tc>
        <w:tc>
          <w:tcPr>
            <w:tcW w:w="1430" w:type="dxa"/>
            <w:tcBorders>
              <w:top w:val="single" w:sz="4" w:space="0" w:color="auto"/>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243</w:t>
            </w:r>
          </w:p>
        </w:tc>
      </w:tr>
      <w:tr w:rsidR="00A94194" w:rsidRPr="00620138" w:rsidTr="001D0867">
        <w:trPr>
          <w:trHeight w:val="300"/>
        </w:trPr>
        <w:tc>
          <w:tcPr>
            <w:tcW w:w="2456" w:type="dxa"/>
            <w:tcBorders>
              <w:top w:val="nil"/>
              <w:left w:val="nil"/>
              <w:bottom w:val="nil"/>
              <w:right w:val="nil"/>
            </w:tcBorders>
            <w:shd w:val="clear" w:color="auto" w:fill="F2F2F2" w:themeFill="background1" w:themeFillShade="F2"/>
            <w:noWrap/>
            <w:vAlign w:val="bottom"/>
            <w:hideMark/>
          </w:tcPr>
          <w:p w:rsidR="00A94194" w:rsidRPr="00620138" w:rsidRDefault="00A94194" w:rsidP="001D0867">
            <w:pPr>
              <w:jc w:val="right"/>
              <w:rPr>
                <w:rFonts w:ascii="Calibri" w:hAnsi="Calibri" w:cs="Times New Roman"/>
                <w:color w:val="000000"/>
                <w:sz w:val="22"/>
                <w:szCs w:val="22"/>
              </w:rPr>
            </w:pPr>
            <w:r w:rsidRPr="00620138">
              <w:rPr>
                <w:rFonts w:ascii="Calibri" w:hAnsi="Calibri" w:cs="Times New Roman"/>
                <w:color w:val="000000"/>
                <w:sz w:val="22"/>
                <w:szCs w:val="22"/>
              </w:rPr>
              <w:t>Meses trabalhados</w:t>
            </w:r>
          </w:p>
        </w:tc>
        <w:tc>
          <w:tcPr>
            <w:tcW w:w="104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7</w:t>
            </w:r>
          </w:p>
        </w:tc>
        <w:tc>
          <w:tcPr>
            <w:tcW w:w="104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7</w:t>
            </w:r>
          </w:p>
        </w:tc>
        <w:tc>
          <w:tcPr>
            <w:tcW w:w="1536"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4</w:t>
            </w:r>
          </w:p>
        </w:tc>
        <w:tc>
          <w:tcPr>
            <w:tcW w:w="785"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w:t>
            </w:r>
          </w:p>
        </w:tc>
        <w:tc>
          <w:tcPr>
            <w:tcW w:w="785"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w:t>
            </w:r>
          </w:p>
        </w:tc>
        <w:tc>
          <w:tcPr>
            <w:tcW w:w="143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w:t>
            </w:r>
          </w:p>
        </w:tc>
      </w:tr>
      <w:tr w:rsidR="00A94194" w:rsidRPr="00620138" w:rsidTr="001D0867">
        <w:trPr>
          <w:trHeight w:val="300"/>
        </w:trPr>
        <w:tc>
          <w:tcPr>
            <w:tcW w:w="2456" w:type="dxa"/>
            <w:tcBorders>
              <w:top w:val="nil"/>
              <w:left w:val="nil"/>
              <w:bottom w:val="nil"/>
              <w:right w:val="nil"/>
            </w:tcBorders>
            <w:shd w:val="clear" w:color="auto" w:fill="F2F2F2" w:themeFill="background1" w:themeFillShade="F2"/>
            <w:noWrap/>
            <w:vAlign w:val="bottom"/>
            <w:hideMark/>
          </w:tcPr>
          <w:p w:rsidR="00A94194" w:rsidRPr="00620138" w:rsidRDefault="00A94194" w:rsidP="001D0867">
            <w:pPr>
              <w:jc w:val="right"/>
              <w:rPr>
                <w:rFonts w:ascii="Calibri" w:hAnsi="Calibri" w:cs="Times New Roman"/>
                <w:color w:val="000000"/>
                <w:sz w:val="22"/>
                <w:szCs w:val="22"/>
              </w:rPr>
            </w:pPr>
            <w:r w:rsidRPr="00620138">
              <w:rPr>
                <w:rFonts w:ascii="Calibri" w:hAnsi="Calibri" w:cs="Times New Roman"/>
                <w:color w:val="000000"/>
                <w:sz w:val="22"/>
                <w:szCs w:val="22"/>
              </w:rPr>
              <w:t>Número de soldadores</w:t>
            </w:r>
          </w:p>
        </w:tc>
        <w:tc>
          <w:tcPr>
            <w:tcW w:w="104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6</w:t>
            </w:r>
          </w:p>
        </w:tc>
        <w:tc>
          <w:tcPr>
            <w:tcW w:w="104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13,5</w:t>
            </w:r>
          </w:p>
        </w:tc>
        <w:tc>
          <w:tcPr>
            <w:tcW w:w="1536"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3</w:t>
            </w:r>
          </w:p>
        </w:tc>
        <w:tc>
          <w:tcPr>
            <w:tcW w:w="785"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6</w:t>
            </w:r>
          </w:p>
        </w:tc>
        <w:tc>
          <w:tcPr>
            <w:tcW w:w="785"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13,5</w:t>
            </w:r>
          </w:p>
        </w:tc>
        <w:tc>
          <w:tcPr>
            <w:tcW w:w="1430" w:type="dxa"/>
            <w:tcBorders>
              <w:top w:val="nil"/>
              <w:left w:val="nil"/>
              <w:bottom w:val="nil"/>
              <w:right w:val="nil"/>
            </w:tcBorders>
            <w:shd w:val="clear" w:color="auto" w:fill="auto"/>
            <w:noWrap/>
            <w:vAlign w:val="bottom"/>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3</w:t>
            </w:r>
          </w:p>
        </w:tc>
      </w:tr>
      <w:tr w:rsidR="00A94194" w:rsidRPr="00620138" w:rsidTr="001D0867">
        <w:trPr>
          <w:trHeight w:val="600"/>
        </w:trPr>
        <w:tc>
          <w:tcPr>
            <w:tcW w:w="2456" w:type="dxa"/>
            <w:tcBorders>
              <w:top w:val="nil"/>
              <w:left w:val="nil"/>
              <w:bottom w:val="single" w:sz="4" w:space="0" w:color="auto"/>
              <w:right w:val="nil"/>
            </w:tcBorders>
            <w:shd w:val="clear" w:color="auto" w:fill="F2F2F2" w:themeFill="background1" w:themeFillShade="F2"/>
            <w:vAlign w:val="center"/>
            <w:hideMark/>
          </w:tcPr>
          <w:p w:rsidR="00A94194" w:rsidRPr="00620138" w:rsidRDefault="00A94194" w:rsidP="001D0867">
            <w:pPr>
              <w:jc w:val="right"/>
              <w:rPr>
                <w:rFonts w:ascii="Calibri" w:hAnsi="Calibri" w:cs="Times New Roman"/>
                <w:color w:val="000000"/>
                <w:sz w:val="22"/>
                <w:szCs w:val="22"/>
              </w:rPr>
            </w:pPr>
            <w:r w:rsidRPr="00620138">
              <w:rPr>
                <w:rFonts w:ascii="Calibri" w:hAnsi="Calibri" w:cs="Times New Roman"/>
                <w:color w:val="000000"/>
                <w:sz w:val="22"/>
                <w:szCs w:val="22"/>
              </w:rPr>
              <w:t>Produtividade (emenda/</w:t>
            </w:r>
            <w:proofErr w:type="spellStart"/>
            <w:r w:rsidRPr="00620138">
              <w:rPr>
                <w:rFonts w:ascii="Calibri" w:hAnsi="Calibri" w:cs="Times New Roman"/>
                <w:color w:val="000000"/>
                <w:sz w:val="22"/>
                <w:szCs w:val="22"/>
              </w:rPr>
              <w:t>soldador.mês</w:t>
            </w:r>
            <w:proofErr w:type="spellEnd"/>
            <w:r w:rsidRPr="00620138">
              <w:rPr>
                <w:rFonts w:ascii="Calibri" w:hAnsi="Calibri" w:cs="Times New Roman"/>
                <w:color w:val="000000"/>
                <w:sz w:val="22"/>
                <w:szCs w:val="22"/>
              </w:rPr>
              <w:t>)</w:t>
            </w:r>
          </w:p>
        </w:tc>
        <w:tc>
          <w:tcPr>
            <w:tcW w:w="1040"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11,9</w:t>
            </w:r>
          </w:p>
        </w:tc>
        <w:tc>
          <w:tcPr>
            <w:tcW w:w="1040"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9,0</w:t>
            </w:r>
          </w:p>
        </w:tc>
        <w:tc>
          <w:tcPr>
            <w:tcW w:w="1536"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100,5</w:t>
            </w:r>
          </w:p>
        </w:tc>
        <w:tc>
          <w:tcPr>
            <w:tcW w:w="785"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3,0</w:t>
            </w:r>
          </w:p>
        </w:tc>
        <w:tc>
          <w:tcPr>
            <w:tcW w:w="785"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6,5</w:t>
            </w:r>
          </w:p>
        </w:tc>
        <w:tc>
          <w:tcPr>
            <w:tcW w:w="1430" w:type="dxa"/>
            <w:tcBorders>
              <w:top w:val="nil"/>
              <w:left w:val="nil"/>
              <w:bottom w:val="single" w:sz="4" w:space="0" w:color="auto"/>
              <w:right w:val="nil"/>
            </w:tcBorders>
            <w:shd w:val="clear" w:color="auto" w:fill="auto"/>
            <w:vAlign w:val="center"/>
            <w:hideMark/>
          </w:tcPr>
          <w:p w:rsidR="00A94194" w:rsidRPr="00620138" w:rsidRDefault="00A94194" w:rsidP="001D0867">
            <w:pPr>
              <w:jc w:val="center"/>
              <w:rPr>
                <w:rFonts w:ascii="Calibri" w:hAnsi="Calibri" w:cs="Times New Roman"/>
                <w:color w:val="000000"/>
                <w:sz w:val="22"/>
                <w:szCs w:val="22"/>
              </w:rPr>
            </w:pPr>
            <w:r w:rsidRPr="00620138">
              <w:rPr>
                <w:rFonts w:ascii="Calibri" w:hAnsi="Calibri" w:cs="Times New Roman"/>
                <w:color w:val="000000"/>
                <w:sz w:val="22"/>
                <w:szCs w:val="22"/>
              </w:rPr>
              <w:t>81,0</w:t>
            </w:r>
          </w:p>
        </w:tc>
      </w:tr>
    </w:tbl>
    <w:p w:rsidR="00A94194" w:rsidRDefault="00A94194" w:rsidP="00A94194">
      <w:pPr>
        <w:tabs>
          <w:tab w:val="left" w:pos="567"/>
        </w:tabs>
        <w:jc w:val="center"/>
        <w:rPr>
          <w:sz w:val="22"/>
          <w:szCs w:val="22"/>
        </w:rPr>
      </w:pPr>
    </w:p>
    <w:p w:rsidR="00A94194" w:rsidRPr="00A94194" w:rsidRDefault="00A94194" w:rsidP="00A94194">
      <w:pPr>
        <w:tabs>
          <w:tab w:val="left" w:pos="567"/>
        </w:tabs>
        <w:jc w:val="center"/>
        <w:rPr>
          <w:sz w:val="22"/>
          <w:szCs w:val="22"/>
        </w:rPr>
      </w:pPr>
      <w:r w:rsidRPr="00A94194">
        <w:rPr>
          <w:sz w:val="22"/>
          <w:szCs w:val="22"/>
        </w:rPr>
        <w:t>Tabela 2. Resultados práticos da aplicação das soluções desenvolvidas em obras práticas.</w:t>
      </w:r>
    </w:p>
    <w:p w:rsidR="00A94194" w:rsidRDefault="00A94194" w:rsidP="00415976">
      <w:pPr>
        <w:shd w:val="clear" w:color="auto" w:fill="FFFFFF"/>
        <w:ind w:firstLine="708"/>
        <w:jc w:val="both"/>
        <w:textAlignment w:val="top"/>
        <w:rPr>
          <w:bCs/>
        </w:rPr>
      </w:pPr>
    </w:p>
    <w:p w:rsidR="00A94194" w:rsidRDefault="00A94194" w:rsidP="00415976">
      <w:pPr>
        <w:shd w:val="clear" w:color="auto" w:fill="FFFFFF"/>
        <w:ind w:firstLine="708"/>
        <w:jc w:val="both"/>
        <w:textAlignment w:val="top"/>
        <w:rPr>
          <w:bCs/>
        </w:rPr>
      </w:pPr>
      <w:r w:rsidRPr="00A94194">
        <w:rPr>
          <w:bCs/>
        </w:rPr>
        <w:t>Pelo apresentado na Tabela 2, a produtividade em termos de uniões (emendas) entre dois perfis estruturais em relação à quantidade de soldadores empregados ao longo de um mês é no mínimo de 8 (oito) vezes maior (ou 700%), tendo uma média de 10.</w:t>
      </w:r>
    </w:p>
    <w:p w:rsidR="002C685A" w:rsidRPr="005F013A" w:rsidRDefault="002C685A" w:rsidP="005F013A">
      <w:pPr>
        <w:tabs>
          <w:tab w:val="left" w:pos="567"/>
        </w:tabs>
        <w:jc w:val="both"/>
      </w:pPr>
    </w:p>
    <w:p w:rsidR="00C7502B" w:rsidRPr="005F013A" w:rsidRDefault="00A94194" w:rsidP="005F013A">
      <w:pPr>
        <w:tabs>
          <w:tab w:val="left" w:pos="567"/>
        </w:tabs>
        <w:jc w:val="both"/>
        <w:rPr>
          <w:b/>
        </w:rPr>
      </w:pPr>
      <w:r>
        <w:rPr>
          <w:b/>
        </w:rPr>
        <w:t>4</w:t>
      </w:r>
      <w:r w:rsidR="00C7502B" w:rsidRPr="005F013A">
        <w:rPr>
          <w:b/>
        </w:rPr>
        <w:t xml:space="preserve">. </w:t>
      </w:r>
      <w:r>
        <w:rPr>
          <w:b/>
        </w:rPr>
        <w:t>Conclusões</w:t>
      </w:r>
    </w:p>
    <w:p w:rsidR="001D27B5" w:rsidRPr="00A94194" w:rsidRDefault="001D27B5" w:rsidP="00A94194">
      <w:pPr>
        <w:shd w:val="clear" w:color="auto" w:fill="FFFFFF"/>
        <w:ind w:firstLine="708"/>
        <w:jc w:val="both"/>
        <w:textAlignment w:val="top"/>
        <w:rPr>
          <w:bCs/>
        </w:rPr>
      </w:pPr>
    </w:p>
    <w:p w:rsidR="00A94194" w:rsidRPr="00A94194" w:rsidRDefault="00A94194" w:rsidP="00A94194">
      <w:pPr>
        <w:shd w:val="clear" w:color="auto" w:fill="FFFFFF"/>
        <w:ind w:firstLine="708"/>
        <w:jc w:val="both"/>
        <w:textAlignment w:val="top"/>
        <w:rPr>
          <w:bCs/>
        </w:rPr>
      </w:pPr>
      <w:r w:rsidRPr="00A94194">
        <w:rPr>
          <w:bCs/>
        </w:rPr>
        <w:t xml:space="preserve">A necessidade do mercado na execução de uniões em vigas para fundações profundas estimulou a INSPE///BRAS a buscar soluções para esta aplicação. Após pesquisas inicias realizadas no </w:t>
      </w:r>
      <w:r>
        <w:rPr>
          <w:bCs/>
        </w:rPr>
        <w:t>Centro d</w:t>
      </w:r>
      <w:r w:rsidRPr="00A94194">
        <w:rPr>
          <w:bCs/>
        </w:rPr>
        <w:t>e Soldagem - INSPE///BRAS e apresentadas aos seus clientes apontaram uma produtividade teórica 3 vezes superior aos processos tradicionais no mercado. Ao longo do processo, os ganhos de produtividade foram melhorados reduzindo-se o tempo das atividades que compõem o caminho crítico do processo de forma que atualmente obteve-se um ganho de produtividade 8 (oito) vezes maior em relação aos processos tradicionais.</w:t>
      </w:r>
    </w:p>
    <w:p w:rsidR="00A94194" w:rsidRPr="00A94194" w:rsidRDefault="00A94194" w:rsidP="00A94194">
      <w:pPr>
        <w:shd w:val="clear" w:color="auto" w:fill="FFFFFF"/>
        <w:ind w:firstLine="708"/>
        <w:jc w:val="both"/>
        <w:textAlignment w:val="top"/>
        <w:rPr>
          <w:bCs/>
        </w:rPr>
      </w:pPr>
    </w:p>
    <w:p w:rsidR="000A4838" w:rsidRPr="005F013A" w:rsidRDefault="00A94194" w:rsidP="005F013A">
      <w:pPr>
        <w:autoSpaceDE w:val="0"/>
        <w:autoSpaceDN w:val="0"/>
        <w:adjustRightInd w:val="0"/>
        <w:ind w:left="426" w:hanging="426"/>
        <w:jc w:val="both"/>
        <w:rPr>
          <w:b/>
        </w:rPr>
      </w:pPr>
      <w:r>
        <w:rPr>
          <w:b/>
        </w:rPr>
        <w:t>5</w:t>
      </w:r>
      <w:r w:rsidR="000A4838" w:rsidRPr="005F013A">
        <w:rPr>
          <w:b/>
        </w:rPr>
        <w:t xml:space="preserve">. Referências </w:t>
      </w:r>
      <w:r w:rsidR="001959CD" w:rsidRPr="005F013A">
        <w:rPr>
          <w:b/>
        </w:rPr>
        <w:t>citadas e selecionadas</w:t>
      </w:r>
    </w:p>
    <w:p w:rsidR="000A4838" w:rsidRPr="005F013A" w:rsidRDefault="000A4838" w:rsidP="005F013A">
      <w:pPr>
        <w:autoSpaceDE w:val="0"/>
        <w:autoSpaceDN w:val="0"/>
        <w:adjustRightInd w:val="0"/>
        <w:ind w:left="426" w:hanging="426"/>
        <w:jc w:val="both"/>
      </w:pPr>
    </w:p>
    <w:p w:rsidR="009F051A" w:rsidRDefault="009F051A" w:rsidP="009F051A">
      <w:pPr>
        <w:autoSpaceDE w:val="0"/>
        <w:autoSpaceDN w:val="0"/>
        <w:adjustRightInd w:val="0"/>
        <w:jc w:val="both"/>
        <w:rPr>
          <w:szCs w:val="20"/>
        </w:rPr>
      </w:pPr>
      <w:r w:rsidRPr="009F051A">
        <w:rPr>
          <w:szCs w:val="20"/>
        </w:rPr>
        <w:t xml:space="preserve">ABNT NBR 6215:2011. </w:t>
      </w:r>
      <w:r w:rsidRPr="00B47ADF">
        <w:rPr>
          <w:b/>
          <w:szCs w:val="20"/>
        </w:rPr>
        <w:t>Produtos siderúrgicos — Terminologia</w:t>
      </w:r>
      <w:r w:rsidRPr="009F051A">
        <w:rPr>
          <w:szCs w:val="20"/>
        </w:rPr>
        <w:t>, ASSOCIAÇÃO BRASILEIRA DE NORMAS TÉCNICAS, 2011.</w:t>
      </w:r>
    </w:p>
    <w:p w:rsid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ABNT NBR 6122:1996. </w:t>
      </w:r>
      <w:r w:rsidRPr="00B47ADF">
        <w:rPr>
          <w:b/>
          <w:szCs w:val="20"/>
        </w:rPr>
        <w:t>Projeto e execução de fundações</w:t>
      </w:r>
      <w:r w:rsidRPr="009F051A">
        <w:rPr>
          <w:szCs w:val="20"/>
        </w:rPr>
        <w:t>, ASSOCIAÇÃO BRASILEIRA DE NORMAS TÉCNICAS, 1996.</w:t>
      </w:r>
    </w:p>
    <w:p w:rsidR="009F051A" w:rsidRP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ABNT NBR 8800:2008. </w:t>
      </w:r>
      <w:r w:rsidRPr="00B47ADF">
        <w:rPr>
          <w:b/>
          <w:szCs w:val="20"/>
        </w:rPr>
        <w:t>Projeto de estruturas de aço e de estruturas mistas de aço e concreto de edifícios</w:t>
      </w:r>
      <w:r w:rsidRPr="009F051A">
        <w:rPr>
          <w:szCs w:val="20"/>
        </w:rPr>
        <w:t>, ASSOCIAÇÃO BRASILEIRA DE NORMAS TÉCNICAS, 2008.</w:t>
      </w:r>
    </w:p>
    <w:p w:rsid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ASM </w:t>
      </w:r>
      <w:proofErr w:type="spellStart"/>
      <w:r w:rsidRPr="009F051A">
        <w:rPr>
          <w:szCs w:val="20"/>
        </w:rPr>
        <w:t>Handbook</w:t>
      </w:r>
      <w:proofErr w:type="spellEnd"/>
      <w:r w:rsidRPr="009F051A">
        <w:rPr>
          <w:szCs w:val="20"/>
        </w:rPr>
        <w:t xml:space="preserve"> Volume 06: </w:t>
      </w:r>
      <w:proofErr w:type="spellStart"/>
      <w:r w:rsidRPr="00B47ADF">
        <w:rPr>
          <w:b/>
          <w:szCs w:val="20"/>
        </w:rPr>
        <w:t>Welding</w:t>
      </w:r>
      <w:proofErr w:type="spellEnd"/>
      <w:r w:rsidRPr="00B47ADF">
        <w:rPr>
          <w:b/>
          <w:szCs w:val="20"/>
        </w:rPr>
        <w:t xml:space="preserve">, </w:t>
      </w:r>
      <w:proofErr w:type="spellStart"/>
      <w:r w:rsidRPr="00B47ADF">
        <w:rPr>
          <w:b/>
          <w:szCs w:val="20"/>
        </w:rPr>
        <w:t>Brazing</w:t>
      </w:r>
      <w:proofErr w:type="spellEnd"/>
      <w:r w:rsidRPr="00B47ADF">
        <w:rPr>
          <w:b/>
          <w:szCs w:val="20"/>
        </w:rPr>
        <w:t xml:space="preserve"> </w:t>
      </w:r>
      <w:proofErr w:type="spellStart"/>
      <w:r w:rsidRPr="00B47ADF">
        <w:rPr>
          <w:b/>
          <w:szCs w:val="20"/>
        </w:rPr>
        <w:t>and</w:t>
      </w:r>
      <w:proofErr w:type="spellEnd"/>
      <w:r w:rsidRPr="00B47ADF">
        <w:rPr>
          <w:b/>
          <w:szCs w:val="20"/>
        </w:rPr>
        <w:t xml:space="preserve"> </w:t>
      </w:r>
      <w:proofErr w:type="spellStart"/>
      <w:r w:rsidRPr="00B47ADF">
        <w:rPr>
          <w:b/>
          <w:szCs w:val="20"/>
        </w:rPr>
        <w:t>Soldering</w:t>
      </w:r>
      <w:proofErr w:type="spellEnd"/>
      <w:r w:rsidRPr="009F051A">
        <w:rPr>
          <w:szCs w:val="20"/>
        </w:rPr>
        <w:t xml:space="preserve">, vol. 06, </w:t>
      </w:r>
      <w:proofErr w:type="spellStart"/>
      <w:r w:rsidRPr="009F051A">
        <w:rPr>
          <w:szCs w:val="20"/>
        </w:rPr>
        <w:t>Materials</w:t>
      </w:r>
      <w:proofErr w:type="spellEnd"/>
      <w:r w:rsidRPr="009F051A">
        <w:rPr>
          <w:szCs w:val="20"/>
        </w:rPr>
        <w:t xml:space="preserve"> Park, 1993. </w:t>
      </w:r>
    </w:p>
    <w:p w:rsid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lastRenderedPageBreak/>
        <w:t xml:space="preserve">ASME Sec. II, </w:t>
      </w:r>
      <w:proofErr w:type="spellStart"/>
      <w:r w:rsidRPr="009F051A">
        <w:rPr>
          <w:szCs w:val="20"/>
        </w:rPr>
        <w:t>Part</w:t>
      </w:r>
      <w:proofErr w:type="spellEnd"/>
      <w:r w:rsidRPr="009F051A">
        <w:rPr>
          <w:szCs w:val="20"/>
        </w:rPr>
        <w:t xml:space="preserve"> C. SFA-5.20/SFA-5.20M. </w:t>
      </w:r>
      <w:r w:rsidR="00B47ADF" w:rsidRPr="00B47ADF">
        <w:rPr>
          <w:b/>
          <w:szCs w:val="20"/>
        </w:rPr>
        <w:t>Standard</w:t>
      </w:r>
      <w:r w:rsidR="00B47ADF" w:rsidRPr="009F051A">
        <w:rPr>
          <w:szCs w:val="20"/>
        </w:rPr>
        <w:t xml:space="preserve"> </w:t>
      </w:r>
      <w:proofErr w:type="spellStart"/>
      <w:r w:rsidRPr="00B47ADF">
        <w:rPr>
          <w:b/>
          <w:szCs w:val="20"/>
        </w:rPr>
        <w:t>Specification</w:t>
      </w:r>
      <w:proofErr w:type="spellEnd"/>
      <w:r w:rsidRPr="00B47ADF">
        <w:rPr>
          <w:b/>
          <w:szCs w:val="20"/>
        </w:rPr>
        <w:t xml:space="preserve"> for </w:t>
      </w:r>
      <w:proofErr w:type="spellStart"/>
      <w:r w:rsidRPr="00B47ADF">
        <w:rPr>
          <w:b/>
          <w:szCs w:val="20"/>
        </w:rPr>
        <w:t>carbon</w:t>
      </w:r>
      <w:proofErr w:type="spellEnd"/>
      <w:r w:rsidRPr="00B47ADF">
        <w:rPr>
          <w:b/>
          <w:szCs w:val="20"/>
        </w:rPr>
        <w:t xml:space="preserve"> </w:t>
      </w:r>
      <w:proofErr w:type="spellStart"/>
      <w:r w:rsidRPr="00B47ADF">
        <w:rPr>
          <w:b/>
          <w:szCs w:val="20"/>
        </w:rPr>
        <w:t>steel</w:t>
      </w:r>
      <w:proofErr w:type="spellEnd"/>
      <w:r w:rsidRPr="00B47ADF">
        <w:rPr>
          <w:b/>
          <w:szCs w:val="20"/>
        </w:rPr>
        <w:t xml:space="preserve"> </w:t>
      </w:r>
      <w:proofErr w:type="spellStart"/>
      <w:r w:rsidRPr="00B47ADF">
        <w:rPr>
          <w:b/>
          <w:szCs w:val="20"/>
        </w:rPr>
        <w:t>electrodes</w:t>
      </w:r>
      <w:proofErr w:type="spellEnd"/>
      <w:r w:rsidRPr="00B47ADF">
        <w:rPr>
          <w:b/>
          <w:szCs w:val="20"/>
        </w:rPr>
        <w:t xml:space="preserve"> for flux </w:t>
      </w:r>
      <w:proofErr w:type="spellStart"/>
      <w:r w:rsidRPr="00B47ADF">
        <w:rPr>
          <w:b/>
          <w:szCs w:val="20"/>
        </w:rPr>
        <w:t>cored</w:t>
      </w:r>
      <w:proofErr w:type="spellEnd"/>
      <w:r w:rsidRPr="00B47ADF">
        <w:rPr>
          <w:b/>
          <w:szCs w:val="20"/>
        </w:rPr>
        <w:t xml:space="preserve"> </w:t>
      </w:r>
      <w:proofErr w:type="spellStart"/>
      <w:r w:rsidRPr="00B47ADF">
        <w:rPr>
          <w:b/>
          <w:szCs w:val="20"/>
        </w:rPr>
        <w:t>arc</w:t>
      </w:r>
      <w:proofErr w:type="spellEnd"/>
      <w:r w:rsidRPr="00B47ADF">
        <w:rPr>
          <w:b/>
          <w:szCs w:val="20"/>
        </w:rPr>
        <w:t xml:space="preserve"> </w:t>
      </w:r>
      <w:proofErr w:type="spellStart"/>
      <w:r w:rsidRPr="00B47ADF">
        <w:rPr>
          <w:b/>
          <w:szCs w:val="20"/>
        </w:rPr>
        <w:t>welding</w:t>
      </w:r>
      <w:proofErr w:type="spellEnd"/>
      <w:r w:rsidRPr="009F051A">
        <w:rPr>
          <w:szCs w:val="20"/>
        </w:rPr>
        <w:t xml:space="preserve">, AMERICAN SOCIETY OF MECHANICAL ENGINEERS, 2010. </w:t>
      </w:r>
    </w:p>
    <w:p w:rsid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ASTM A572/A572M:15. </w:t>
      </w:r>
      <w:r w:rsidRPr="00B47ADF">
        <w:rPr>
          <w:b/>
          <w:szCs w:val="20"/>
        </w:rPr>
        <w:t xml:space="preserve">Standard </w:t>
      </w:r>
      <w:proofErr w:type="spellStart"/>
      <w:r w:rsidRPr="00B47ADF">
        <w:rPr>
          <w:b/>
          <w:szCs w:val="20"/>
        </w:rPr>
        <w:t>Specification</w:t>
      </w:r>
      <w:proofErr w:type="spellEnd"/>
      <w:r w:rsidRPr="00B47ADF">
        <w:rPr>
          <w:b/>
          <w:szCs w:val="20"/>
        </w:rPr>
        <w:t xml:space="preserve"> for High-</w:t>
      </w:r>
      <w:proofErr w:type="spellStart"/>
      <w:r w:rsidRPr="00B47ADF">
        <w:rPr>
          <w:b/>
          <w:szCs w:val="20"/>
        </w:rPr>
        <w:t>Strength</w:t>
      </w:r>
      <w:proofErr w:type="spellEnd"/>
      <w:r w:rsidRPr="00B47ADF">
        <w:rPr>
          <w:b/>
          <w:szCs w:val="20"/>
        </w:rPr>
        <w:t xml:space="preserve"> </w:t>
      </w:r>
      <w:proofErr w:type="spellStart"/>
      <w:r w:rsidRPr="00B47ADF">
        <w:rPr>
          <w:b/>
          <w:szCs w:val="20"/>
        </w:rPr>
        <w:t>Low-Alloy</w:t>
      </w:r>
      <w:proofErr w:type="spellEnd"/>
      <w:r w:rsidRPr="00B47ADF">
        <w:rPr>
          <w:b/>
          <w:szCs w:val="20"/>
        </w:rPr>
        <w:t xml:space="preserve"> </w:t>
      </w:r>
      <w:proofErr w:type="spellStart"/>
      <w:r w:rsidRPr="00B47ADF">
        <w:rPr>
          <w:b/>
          <w:szCs w:val="20"/>
        </w:rPr>
        <w:t>Columbium-Vanadium</w:t>
      </w:r>
      <w:proofErr w:type="spellEnd"/>
      <w:r w:rsidRPr="00B47ADF">
        <w:rPr>
          <w:b/>
          <w:szCs w:val="20"/>
        </w:rPr>
        <w:t xml:space="preserve"> </w:t>
      </w:r>
      <w:proofErr w:type="spellStart"/>
      <w:r w:rsidRPr="00B47ADF">
        <w:rPr>
          <w:b/>
          <w:szCs w:val="20"/>
        </w:rPr>
        <w:t>Structural</w:t>
      </w:r>
      <w:proofErr w:type="spellEnd"/>
      <w:r w:rsidRPr="00B47ADF">
        <w:rPr>
          <w:b/>
          <w:szCs w:val="20"/>
        </w:rPr>
        <w:t xml:space="preserve"> Steel</w:t>
      </w:r>
      <w:r w:rsidRPr="009F051A">
        <w:rPr>
          <w:szCs w:val="20"/>
        </w:rPr>
        <w:t>, AMERICAN SOCIETY FOR TESTING AND MATERIALS, 2015.</w:t>
      </w:r>
    </w:p>
    <w:p w:rsid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AWS D1.1/D.1.1M. </w:t>
      </w:r>
      <w:proofErr w:type="spellStart"/>
      <w:r w:rsidRPr="00B47ADF">
        <w:rPr>
          <w:b/>
          <w:szCs w:val="20"/>
        </w:rPr>
        <w:t>Structural</w:t>
      </w:r>
      <w:proofErr w:type="spellEnd"/>
      <w:r w:rsidRPr="00B47ADF">
        <w:rPr>
          <w:b/>
          <w:szCs w:val="20"/>
        </w:rPr>
        <w:t xml:space="preserve"> </w:t>
      </w:r>
      <w:proofErr w:type="spellStart"/>
      <w:r w:rsidRPr="00B47ADF">
        <w:rPr>
          <w:b/>
          <w:szCs w:val="20"/>
        </w:rPr>
        <w:t>Welding</w:t>
      </w:r>
      <w:proofErr w:type="spellEnd"/>
      <w:r w:rsidRPr="00B47ADF">
        <w:rPr>
          <w:b/>
          <w:szCs w:val="20"/>
        </w:rPr>
        <w:t xml:space="preserve"> </w:t>
      </w:r>
      <w:proofErr w:type="spellStart"/>
      <w:r w:rsidRPr="00B47ADF">
        <w:rPr>
          <w:b/>
          <w:szCs w:val="20"/>
        </w:rPr>
        <w:t>Code</w:t>
      </w:r>
      <w:proofErr w:type="spellEnd"/>
      <w:r w:rsidRPr="00B47ADF">
        <w:rPr>
          <w:b/>
          <w:szCs w:val="20"/>
        </w:rPr>
        <w:t xml:space="preserve"> – Steel</w:t>
      </w:r>
      <w:r w:rsidRPr="009F051A">
        <w:rPr>
          <w:szCs w:val="20"/>
        </w:rPr>
        <w:t xml:space="preserve"> (</w:t>
      </w:r>
      <w:proofErr w:type="spellStart"/>
      <w:r w:rsidRPr="009F051A">
        <w:rPr>
          <w:szCs w:val="20"/>
        </w:rPr>
        <w:t>Approved</w:t>
      </w:r>
      <w:proofErr w:type="spellEnd"/>
      <w:r w:rsidRPr="009F051A">
        <w:rPr>
          <w:szCs w:val="20"/>
        </w:rPr>
        <w:t xml:space="preserve"> as American </w:t>
      </w:r>
      <w:proofErr w:type="spellStart"/>
      <w:r w:rsidRPr="009F051A">
        <w:rPr>
          <w:szCs w:val="20"/>
        </w:rPr>
        <w:t>National</w:t>
      </w:r>
      <w:proofErr w:type="spellEnd"/>
      <w:r w:rsidRPr="009F051A">
        <w:rPr>
          <w:szCs w:val="20"/>
        </w:rPr>
        <w:t xml:space="preserve"> Standard), AMERICAN WELDING SOCIETY, 2010.</w:t>
      </w:r>
    </w:p>
    <w:p w:rsidR="009F051A" w:rsidRP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AWS A5.1/A5.1M. </w:t>
      </w:r>
      <w:proofErr w:type="spellStart"/>
      <w:r w:rsidRPr="00B47ADF">
        <w:rPr>
          <w:b/>
          <w:szCs w:val="20"/>
        </w:rPr>
        <w:t>Specification</w:t>
      </w:r>
      <w:proofErr w:type="spellEnd"/>
      <w:r w:rsidRPr="00B47ADF">
        <w:rPr>
          <w:b/>
          <w:szCs w:val="20"/>
        </w:rPr>
        <w:t xml:space="preserve"> for </w:t>
      </w:r>
      <w:proofErr w:type="spellStart"/>
      <w:r w:rsidRPr="00B47ADF">
        <w:rPr>
          <w:b/>
          <w:szCs w:val="20"/>
        </w:rPr>
        <w:t>Carbon</w:t>
      </w:r>
      <w:proofErr w:type="spellEnd"/>
      <w:r w:rsidRPr="00B47ADF">
        <w:rPr>
          <w:b/>
          <w:szCs w:val="20"/>
        </w:rPr>
        <w:t xml:space="preserve"> Steel </w:t>
      </w:r>
      <w:proofErr w:type="spellStart"/>
      <w:r w:rsidRPr="00B47ADF">
        <w:rPr>
          <w:b/>
          <w:szCs w:val="20"/>
        </w:rPr>
        <w:t>Electrodes</w:t>
      </w:r>
      <w:proofErr w:type="spellEnd"/>
      <w:r w:rsidRPr="00B47ADF">
        <w:rPr>
          <w:b/>
          <w:szCs w:val="20"/>
        </w:rPr>
        <w:t xml:space="preserve"> for </w:t>
      </w:r>
      <w:proofErr w:type="spellStart"/>
      <w:r w:rsidRPr="00B47ADF">
        <w:rPr>
          <w:b/>
          <w:szCs w:val="20"/>
        </w:rPr>
        <w:t>Shielded</w:t>
      </w:r>
      <w:proofErr w:type="spellEnd"/>
      <w:r w:rsidRPr="00B47ADF">
        <w:rPr>
          <w:b/>
          <w:szCs w:val="20"/>
        </w:rPr>
        <w:t xml:space="preserve"> Metal </w:t>
      </w:r>
      <w:proofErr w:type="spellStart"/>
      <w:r w:rsidRPr="00B47ADF">
        <w:rPr>
          <w:b/>
          <w:szCs w:val="20"/>
        </w:rPr>
        <w:t>Arc</w:t>
      </w:r>
      <w:proofErr w:type="spellEnd"/>
      <w:r w:rsidRPr="00B47ADF">
        <w:rPr>
          <w:b/>
          <w:szCs w:val="20"/>
        </w:rPr>
        <w:t xml:space="preserve"> </w:t>
      </w:r>
      <w:proofErr w:type="spellStart"/>
      <w:r w:rsidRPr="00B47ADF">
        <w:rPr>
          <w:b/>
          <w:szCs w:val="20"/>
        </w:rPr>
        <w:t>Welding</w:t>
      </w:r>
      <w:proofErr w:type="spellEnd"/>
      <w:r w:rsidRPr="009F051A">
        <w:rPr>
          <w:szCs w:val="20"/>
        </w:rPr>
        <w:t>. AMERICAN WELDING SOCIETY, 2004.</w:t>
      </w:r>
    </w:p>
    <w:p w:rsidR="009F051A" w:rsidRP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FORTES, C. VAZ, C.T. </w:t>
      </w:r>
      <w:r w:rsidRPr="00B47ADF">
        <w:rPr>
          <w:b/>
          <w:szCs w:val="20"/>
        </w:rPr>
        <w:t>Eletrodos Revestidos</w:t>
      </w:r>
      <w:r w:rsidR="00B47ADF">
        <w:rPr>
          <w:szCs w:val="20"/>
        </w:rPr>
        <w:t xml:space="preserve"> (Apostila)</w:t>
      </w:r>
      <w:r w:rsidRPr="009F051A">
        <w:rPr>
          <w:szCs w:val="20"/>
        </w:rPr>
        <w:t>. ESAB. 2005.</w:t>
      </w:r>
      <w:r w:rsidR="00B47ADF">
        <w:rPr>
          <w:szCs w:val="20"/>
        </w:rPr>
        <w:t xml:space="preserve"> </w:t>
      </w:r>
      <w:r w:rsidR="002C2B07" w:rsidRPr="005F013A">
        <w:t>Disponível em: &lt;</w:t>
      </w:r>
      <w:r w:rsidR="002C2B07" w:rsidRPr="002C2B07">
        <w:rPr>
          <w:szCs w:val="20"/>
        </w:rPr>
        <w:t xml:space="preserve"> </w:t>
      </w:r>
      <w:r w:rsidR="002C2B07" w:rsidRPr="002C2B07">
        <w:rPr>
          <w:szCs w:val="20"/>
          <w:u w:val="single"/>
        </w:rPr>
        <w:t>http://www.esab.com.br/br/pt/education/apostilas/upload/1901097rev1_apostilaeletrodosrevestidos_ok.pdf</w:t>
      </w:r>
      <w:r w:rsidR="002C2B07" w:rsidRPr="005F013A">
        <w:t xml:space="preserve"> </w:t>
      </w:r>
      <w:proofErr w:type="gramStart"/>
      <w:r w:rsidR="002C2B07" w:rsidRPr="005F013A">
        <w:t>&gt; Acessado</w:t>
      </w:r>
      <w:proofErr w:type="gramEnd"/>
      <w:r w:rsidR="002C2B07" w:rsidRPr="005F013A">
        <w:t xml:space="preserve"> em: </w:t>
      </w:r>
      <w:r w:rsidR="002C2B07">
        <w:t>30</w:t>
      </w:r>
      <w:r w:rsidR="002C2B07" w:rsidRPr="005F013A">
        <w:t xml:space="preserve"> </w:t>
      </w:r>
      <w:r w:rsidR="002C2B07">
        <w:t>set</w:t>
      </w:r>
      <w:r w:rsidR="002C2B07" w:rsidRPr="005F013A">
        <w:t>. 2016.</w:t>
      </w:r>
    </w:p>
    <w:p w:rsidR="009F051A" w:rsidRPr="009F051A" w:rsidRDefault="009F051A" w:rsidP="009F051A">
      <w:pPr>
        <w:autoSpaceDE w:val="0"/>
        <w:autoSpaceDN w:val="0"/>
        <w:adjustRightInd w:val="0"/>
        <w:jc w:val="both"/>
        <w:rPr>
          <w:szCs w:val="20"/>
        </w:rPr>
      </w:pPr>
    </w:p>
    <w:p w:rsidR="009F051A" w:rsidRDefault="009F051A" w:rsidP="009F051A">
      <w:pPr>
        <w:autoSpaceDE w:val="0"/>
        <w:autoSpaceDN w:val="0"/>
        <w:adjustRightInd w:val="0"/>
        <w:jc w:val="both"/>
        <w:rPr>
          <w:szCs w:val="20"/>
        </w:rPr>
      </w:pPr>
      <w:r w:rsidRPr="009F051A">
        <w:rPr>
          <w:szCs w:val="20"/>
        </w:rPr>
        <w:t xml:space="preserve">MODENESI, </w:t>
      </w:r>
      <w:r w:rsidR="002C2B07">
        <w:rPr>
          <w:szCs w:val="20"/>
        </w:rPr>
        <w:t>P.</w:t>
      </w:r>
      <w:r w:rsidRPr="009F051A">
        <w:rPr>
          <w:szCs w:val="20"/>
        </w:rPr>
        <w:t xml:space="preserve"> J.; MARQUES, </w:t>
      </w:r>
      <w:r w:rsidR="002C2B07">
        <w:rPr>
          <w:szCs w:val="20"/>
        </w:rPr>
        <w:t>P.</w:t>
      </w:r>
      <w:r w:rsidRPr="009F051A">
        <w:rPr>
          <w:szCs w:val="20"/>
        </w:rPr>
        <w:t xml:space="preserve"> </w:t>
      </w:r>
      <w:r w:rsidR="002C2B07">
        <w:rPr>
          <w:szCs w:val="20"/>
        </w:rPr>
        <w:t>V.</w:t>
      </w:r>
      <w:r w:rsidRPr="009F051A">
        <w:rPr>
          <w:szCs w:val="20"/>
        </w:rPr>
        <w:t xml:space="preserve">; BRACARENSE, </w:t>
      </w:r>
      <w:r w:rsidR="002C2B07">
        <w:rPr>
          <w:szCs w:val="20"/>
        </w:rPr>
        <w:t>A.</w:t>
      </w:r>
      <w:r w:rsidRPr="009F051A">
        <w:rPr>
          <w:szCs w:val="20"/>
        </w:rPr>
        <w:t xml:space="preserve"> Q. </w:t>
      </w:r>
      <w:r w:rsidRPr="002C2B07">
        <w:rPr>
          <w:b/>
          <w:szCs w:val="20"/>
        </w:rPr>
        <w:t>Soldagem Fundamentos e Tecnologia</w:t>
      </w:r>
      <w:r w:rsidRPr="009F051A">
        <w:rPr>
          <w:szCs w:val="20"/>
        </w:rPr>
        <w:t>. Universidade Federal de Minas Gerais. Departamento de Engenharia Metalúrgica. Belo Horizonte, 2007.</w:t>
      </w:r>
    </w:p>
    <w:p w:rsidR="009F051A" w:rsidRPr="009F051A" w:rsidRDefault="009F051A" w:rsidP="009F051A">
      <w:pPr>
        <w:autoSpaceDE w:val="0"/>
        <w:autoSpaceDN w:val="0"/>
        <w:adjustRightInd w:val="0"/>
        <w:jc w:val="both"/>
        <w:rPr>
          <w:szCs w:val="20"/>
        </w:rPr>
      </w:pPr>
    </w:p>
    <w:p w:rsidR="00B262DD" w:rsidRPr="005F013A" w:rsidRDefault="009F051A" w:rsidP="005F013A">
      <w:pPr>
        <w:autoSpaceDE w:val="0"/>
        <w:autoSpaceDN w:val="0"/>
        <w:adjustRightInd w:val="0"/>
        <w:jc w:val="both"/>
        <w:rPr>
          <w:b/>
          <w:highlight w:val="yellow"/>
        </w:rPr>
      </w:pPr>
      <w:r w:rsidRPr="009F051A">
        <w:rPr>
          <w:szCs w:val="20"/>
        </w:rPr>
        <w:t xml:space="preserve">SOUZA, G.R. et. al. </w:t>
      </w:r>
      <w:r w:rsidRPr="002C2B07">
        <w:rPr>
          <w:b/>
          <w:szCs w:val="20"/>
        </w:rPr>
        <w:t xml:space="preserve">Soldagem com Eletrodo Tubular </w:t>
      </w:r>
      <w:proofErr w:type="spellStart"/>
      <w:r w:rsidRPr="002C2B07">
        <w:rPr>
          <w:b/>
          <w:szCs w:val="20"/>
        </w:rPr>
        <w:t>Autoprotegido</w:t>
      </w:r>
      <w:proofErr w:type="spellEnd"/>
      <w:r w:rsidRPr="002C2B07">
        <w:rPr>
          <w:b/>
          <w:szCs w:val="20"/>
        </w:rPr>
        <w:t xml:space="preserve"> FCAW-</w:t>
      </w:r>
      <w:proofErr w:type="gramStart"/>
      <w:r w:rsidRPr="002C2B07">
        <w:rPr>
          <w:b/>
          <w:szCs w:val="20"/>
        </w:rPr>
        <w:t>s</w:t>
      </w:r>
      <w:proofErr w:type="gramEnd"/>
      <w:r w:rsidRPr="002C2B07">
        <w:rPr>
          <w:b/>
          <w:szCs w:val="20"/>
        </w:rPr>
        <w:t xml:space="preserve"> para Aços Estruturais Empregados em Elementos da Construção Civil</w:t>
      </w:r>
      <w:r w:rsidRPr="009F051A">
        <w:rPr>
          <w:szCs w:val="20"/>
        </w:rPr>
        <w:t xml:space="preserve">. Monografia de TCC. </w:t>
      </w:r>
      <w:proofErr w:type="spellStart"/>
      <w:r w:rsidRPr="009F051A">
        <w:rPr>
          <w:szCs w:val="20"/>
        </w:rPr>
        <w:t>Unisanta</w:t>
      </w:r>
      <w:proofErr w:type="spellEnd"/>
      <w:r w:rsidRPr="009F051A">
        <w:rPr>
          <w:szCs w:val="20"/>
        </w:rPr>
        <w:t xml:space="preserve">, </w:t>
      </w:r>
      <w:proofErr w:type="gramStart"/>
      <w:r w:rsidRPr="009F051A">
        <w:rPr>
          <w:szCs w:val="20"/>
        </w:rPr>
        <w:t>Dez.</w:t>
      </w:r>
      <w:proofErr w:type="gramEnd"/>
      <w:r w:rsidRPr="009F051A">
        <w:rPr>
          <w:szCs w:val="20"/>
        </w:rPr>
        <w:t xml:space="preserve"> 2015.</w:t>
      </w:r>
    </w:p>
    <w:sectPr w:rsidR="00B262DD" w:rsidRPr="005F013A" w:rsidSect="00C349A1">
      <w:headerReference w:type="default" r:id="rId28"/>
      <w:footerReference w:type="default" r:id="rId29"/>
      <w:headerReference w:type="first" r:id="rId30"/>
      <w:footerReference w:type="first" r:id="rId31"/>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5EEF" w:rsidRDefault="00CC5EEF">
      <w:r>
        <w:separator/>
      </w:r>
    </w:p>
  </w:endnote>
  <w:endnote w:type="continuationSeparator" w:id="0">
    <w:p w:rsidR="00CC5EEF" w:rsidRDefault="00CC5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0C201D" w:rsidRDefault="003B7091">
    <w:pPr>
      <w:pStyle w:val="Rodap"/>
      <w:jc w:val="right"/>
      <w:rPr>
        <w:rFonts w:ascii="Times New Roman" w:hAnsi="Times New Roman" w:cs="Times New Roman"/>
      </w:rPr>
    </w:pPr>
    <w:r w:rsidRPr="000C201D">
      <w:rPr>
        <w:rFonts w:ascii="Times New Roman" w:hAnsi="Times New Roman" w:cs="Times New Roman"/>
      </w:rPr>
      <w:fldChar w:fldCharType="begin"/>
    </w:r>
    <w:r w:rsidRPr="000C201D">
      <w:rPr>
        <w:rFonts w:ascii="Times New Roman" w:hAnsi="Times New Roman" w:cs="Times New Roman"/>
      </w:rPr>
      <w:instrText>PAGE   \* MERGEFORMAT</w:instrText>
    </w:r>
    <w:r w:rsidRPr="000C201D">
      <w:rPr>
        <w:rFonts w:ascii="Times New Roman" w:hAnsi="Times New Roman" w:cs="Times New Roman"/>
      </w:rPr>
      <w:fldChar w:fldCharType="separate"/>
    </w:r>
    <w:r w:rsidR="0044777A">
      <w:rPr>
        <w:rFonts w:ascii="Times New Roman" w:hAnsi="Times New Roman" w:cs="Times New Roman"/>
        <w:noProof/>
      </w:rPr>
      <w:t>12</w:t>
    </w:r>
    <w:r w:rsidRPr="000C201D">
      <w:rPr>
        <w:rFonts w:ascii="Times New Roman" w:hAnsi="Times New Roman" w:cs="Times New Roman"/>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5EEF" w:rsidRDefault="00CC5EEF">
      <w:r>
        <w:separator/>
      </w:r>
    </w:p>
  </w:footnote>
  <w:footnote w:type="continuationSeparator" w:id="0">
    <w:p w:rsidR="00CC5EEF" w:rsidRDefault="00CC5E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91CFD"/>
    <w:multiLevelType w:val="hybridMultilevel"/>
    <w:tmpl w:val="BE7C31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E13344F"/>
    <w:multiLevelType w:val="hybridMultilevel"/>
    <w:tmpl w:val="1124DA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2C40EB0"/>
    <w:multiLevelType w:val="hybridMultilevel"/>
    <w:tmpl w:val="2E4EBF1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9602281"/>
    <w:multiLevelType w:val="hybridMultilevel"/>
    <w:tmpl w:val="BC34CE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45F635D7"/>
    <w:multiLevelType w:val="hybridMultilevel"/>
    <w:tmpl w:val="83BE6F5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4B2A3D03"/>
    <w:multiLevelType w:val="hybridMultilevel"/>
    <w:tmpl w:val="D0A6F444"/>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5B4E1207"/>
    <w:multiLevelType w:val="hybridMultilevel"/>
    <w:tmpl w:val="AE36FE4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66411DD4"/>
    <w:multiLevelType w:val="hybridMultilevel"/>
    <w:tmpl w:val="F000E7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71D07862"/>
    <w:multiLevelType w:val="hybridMultilevel"/>
    <w:tmpl w:val="3A0C2CE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12"/>
  </w:num>
  <w:num w:numId="3">
    <w:abstractNumId w:val="9"/>
  </w:num>
  <w:num w:numId="4">
    <w:abstractNumId w:val="6"/>
  </w:num>
  <w:num w:numId="5">
    <w:abstractNumId w:val="2"/>
  </w:num>
  <w:num w:numId="6">
    <w:abstractNumId w:val="13"/>
  </w:num>
  <w:num w:numId="7">
    <w:abstractNumId w:val="11"/>
  </w:num>
  <w:num w:numId="8">
    <w:abstractNumId w:val="8"/>
  </w:num>
  <w:num w:numId="9">
    <w:abstractNumId w:val="7"/>
  </w:num>
  <w:num w:numId="10">
    <w:abstractNumId w:val="0"/>
  </w:num>
  <w:num w:numId="11">
    <w:abstractNumId w:val="5"/>
  </w:num>
  <w:num w:numId="12">
    <w:abstractNumId w:val="3"/>
  </w:num>
  <w:num w:numId="13">
    <w:abstractNumId w:val="10"/>
  </w:num>
  <w:num w:numId="14">
    <w:abstractNumId w:val="4"/>
  </w:num>
  <w:num w:numId="15">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embedSystemFonts/>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1480"/>
    <w:rsid w:val="00073856"/>
    <w:rsid w:val="00074C51"/>
    <w:rsid w:val="0007533B"/>
    <w:rsid w:val="00076532"/>
    <w:rsid w:val="000772E7"/>
    <w:rsid w:val="000812C5"/>
    <w:rsid w:val="00081323"/>
    <w:rsid w:val="00082213"/>
    <w:rsid w:val="000825C9"/>
    <w:rsid w:val="0008260B"/>
    <w:rsid w:val="00083A75"/>
    <w:rsid w:val="000844F1"/>
    <w:rsid w:val="00084B2D"/>
    <w:rsid w:val="00090B3C"/>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B02B7"/>
    <w:rsid w:val="000B1221"/>
    <w:rsid w:val="000B16E5"/>
    <w:rsid w:val="000B223B"/>
    <w:rsid w:val="000B359E"/>
    <w:rsid w:val="000B3819"/>
    <w:rsid w:val="000B386E"/>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707F"/>
    <w:rsid w:val="000D70F5"/>
    <w:rsid w:val="000E01CD"/>
    <w:rsid w:val="000E0217"/>
    <w:rsid w:val="000E03C8"/>
    <w:rsid w:val="000E0560"/>
    <w:rsid w:val="000E13A5"/>
    <w:rsid w:val="000E1D05"/>
    <w:rsid w:val="000E1D1F"/>
    <w:rsid w:val="000E38AC"/>
    <w:rsid w:val="000E3CEB"/>
    <w:rsid w:val="000E4357"/>
    <w:rsid w:val="000E7CE7"/>
    <w:rsid w:val="000F11AD"/>
    <w:rsid w:val="000F2006"/>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1A1A"/>
    <w:rsid w:val="00121E68"/>
    <w:rsid w:val="00123070"/>
    <w:rsid w:val="00123AE5"/>
    <w:rsid w:val="0012420B"/>
    <w:rsid w:val="001276CA"/>
    <w:rsid w:val="00127D0D"/>
    <w:rsid w:val="001311B1"/>
    <w:rsid w:val="00131B86"/>
    <w:rsid w:val="00132C91"/>
    <w:rsid w:val="001334DB"/>
    <w:rsid w:val="00133928"/>
    <w:rsid w:val="00133DBE"/>
    <w:rsid w:val="00134509"/>
    <w:rsid w:val="00135071"/>
    <w:rsid w:val="00135648"/>
    <w:rsid w:val="00135C24"/>
    <w:rsid w:val="00136292"/>
    <w:rsid w:val="0013775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975"/>
    <w:rsid w:val="001A66C0"/>
    <w:rsid w:val="001A70AD"/>
    <w:rsid w:val="001A79EF"/>
    <w:rsid w:val="001A7CA9"/>
    <w:rsid w:val="001B386B"/>
    <w:rsid w:val="001B52B9"/>
    <w:rsid w:val="001B587C"/>
    <w:rsid w:val="001B6769"/>
    <w:rsid w:val="001B6D57"/>
    <w:rsid w:val="001B775A"/>
    <w:rsid w:val="001C0A01"/>
    <w:rsid w:val="001C0D5A"/>
    <w:rsid w:val="001C176E"/>
    <w:rsid w:val="001C24E7"/>
    <w:rsid w:val="001C2AFE"/>
    <w:rsid w:val="001C36AA"/>
    <w:rsid w:val="001C426C"/>
    <w:rsid w:val="001C4C52"/>
    <w:rsid w:val="001C5136"/>
    <w:rsid w:val="001C60D5"/>
    <w:rsid w:val="001C738B"/>
    <w:rsid w:val="001C753C"/>
    <w:rsid w:val="001C7D77"/>
    <w:rsid w:val="001D0088"/>
    <w:rsid w:val="001D0634"/>
    <w:rsid w:val="001D120B"/>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424"/>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2B07"/>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3530"/>
    <w:rsid w:val="003040C7"/>
    <w:rsid w:val="00304107"/>
    <w:rsid w:val="003048B4"/>
    <w:rsid w:val="003065CB"/>
    <w:rsid w:val="003067FC"/>
    <w:rsid w:val="00307233"/>
    <w:rsid w:val="00307577"/>
    <w:rsid w:val="003079C2"/>
    <w:rsid w:val="00307F4C"/>
    <w:rsid w:val="003105C6"/>
    <w:rsid w:val="003138A5"/>
    <w:rsid w:val="00314B45"/>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80881"/>
    <w:rsid w:val="00384C69"/>
    <w:rsid w:val="0038522F"/>
    <w:rsid w:val="00385DBF"/>
    <w:rsid w:val="003868E5"/>
    <w:rsid w:val="003914D0"/>
    <w:rsid w:val="0039159E"/>
    <w:rsid w:val="003919E1"/>
    <w:rsid w:val="00392AEE"/>
    <w:rsid w:val="00393BFA"/>
    <w:rsid w:val="00394EB1"/>
    <w:rsid w:val="00397518"/>
    <w:rsid w:val="003A061B"/>
    <w:rsid w:val="003A112B"/>
    <w:rsid w:val="003A13C5"/>
    <w:rsid w:val="003A13D1"/>
    <w:rsid w:val="003A1B6C"/>
    <w:rsid w:val="003A2049"/>
    <w:rsid w:val="003A28B8"/>
    <w:rsid w:val="003A2C47"/>
    <w:rsid w:val="003A46E3"/>
    <w:rsid w:val="003A51F7"/>
    <w:rsid w:val="003A582C"/>
    <w:rsid w:val="003A6361"/>
    <w:rsid w:val="003B1C5A"/>
    <w:rsid w:val="003B24CF"/>
    <w:rsid w:val="003B52DB"/>
    <w:rsid w:val="003B5CF8"/>
    <w:rsid w:val="003B629B"/>
    <w:rsid w:val="003B68FB"/>
    <w:rsid w:val="003B6B36"/>
    <w:rsid w:val="003B7091"/>
    <w:rsid w:val="003B77EC"/>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5976"/>
    <w:rsid w:val="00416C8A"/>
    <w:rsid w:val="00416DBF"/>
    <w:rsid w:val="00416E40"/>
    <w:rsid w:val="00417D06"/>
    <w:rsid w:val="0042126B"/>
    <w:rsid w:val="00421879"/>
    <w:rsid w:val="00422618"/>
    <w:rsid w:val="004232B1"/>
    <w:rsid w:val="00424D4C"/>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77A"/>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AA0"/>
    <w:rsid w:val="00543156"/>
    <w:rsid w:val="00543CE0"/>
    <w:rsid w:val="00545FA8"/>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28EB"/>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1B5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24C9"/>
    <w:rsid w:val="00733863"/>
    <w:rsid w:val="00733E87"/>
    <w:rsid w:val="00734027"/>
    <w:rsid w:val="0073429A"/>
    <w:rsid w:val="00735F9B"/>
    <w:rsid w:val="007362FE"/>
    <w:rsid w:val="0073707B"/>
    <w:rsid w:val="007407DC"/>
    <w:rsid w:val="007407E9"/>
    <w:rsid w:val="00740C4F"/>
    <w:rsid w:val="007414A2"/>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69E6"/>
    <w:rsid w:val="007675CF"/>
    <w:rsid w:val="00772E03"/>
    <w:rsid w:val="00772F82"/>
    <w:rsid w:val="00773E91"/>
    <w:rsid w:val="00773FB6"/>
    <w:rsid w:val="00775DCA"/>
    <w:rsid w:val="00777309"/>
    <w:rsid w:val="007776CF"/>
    <w:rsid w:val="0077789E"/>
    <w:rsid w:val="00780AEC"/>
    <w:rsid w:val="00780FA2"/>
    <w:rsid w:val="0078120F"/>
    <w:rsid w:val="00782050"/>
    <w:rsid w:val="00784825"/>
    <w:rsid w:val="00785984"/>
    <w:rsid w:val="00786685"/>
    <w:rsid w:val="0079026E"/>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C9C"/>
    <w:rsid w:val="00865F18"/>
    <w:rsid w:val="00866A18"/>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8A"/>
    <w:rsid w:val="008D4678"/>
    <w:rsid w:val="008D519D"/>
    <w:rsid w:val="008D541D"/>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1501"/>
    <w:rsid w:val="009018C1"/>
    <w:rsid w:val="00901C9A"/>
    <w:rsid w:val="00902940"/>
    <w:rsid w:val="00903958"/>
    <w:rsid w:val="009049FA"/>
    <w:rsid w:val="009063A4"/>
    <w:rsid w:val="00906C69"/>
    <w:rsid w:val="00907C80"/>
    <w:rsid w:val="00907FAB"/>
    <w:rsid w:val="00910CC6"/>
    <w:rsid w:val="00912CA9"/>
    <w:rsid w:val="009153A1"/>
    <w:rsid w:val="009157A7"/>
    <w:rsid w:val="00915EDC"/>
    <w:rsid w:val="00916B28"/>
    <w:rsid w:val="00917024"/>
    <w:rsid w:val="009170A9"/>
    <w:rsid w:val="0091711A"/>
    <w:rsid w:val="00921B9A"/>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04AD"/>
    <w:rsid w:val="009B13D6"/>
    <w:rsid w:val="009B1DCD"/>
    <w:rsid w:val="009B21D1"/>
    <w:rsid w:val="009B21ED"/>
    <w:rsid w:val="009B2A2C"/>
    <w:rsid w:val="009B2D0F"/>
    <w:rsid w:val="009B366C"/>
    <w:rsid w:val="009B54C9"/>
    <w:rsid w:val="009B5B53"/>
    <w:rsid w:val="009B5B55"/>
    <w:rsid w:val="009B640B"/>
    <w:rsid w:val="009C1680"/>
    <w:rsid w:val="009C1B78"/>
    <w:rsid w:val="009C1FDC"/>
    <w:rsid w:val="009C3A8B"/>
    <w:rsid w:val="009C52FF"/>
    <w:rsid w:val="009C64DC"/>
    <w:rsid w:val="009D01D4"/>
    <w:rsid w:val="009D11D5"/>
    <w:rsid w:val="009D2E52"/>
    <w:rsid w:val="009D2F13"/>
    <w:rsid w:val="009D35C6"/>
    <w:rsid w:val="009D40B9"/>
    <w:rsid w:val="009D69DB"/>
    <w:rsid w:val="009D71BD"/>
    <w:rsid w:val="009D71CF"/>
    <w:rsid w:val="009D7810"/>
    <w:rsid w:val="009D7A2C"/>
    <w:rsid w:val="009D7C79"/>
    <w:rsid w:val="009E0D44"/>
    <w:rsid w:val="009E0E35"/>
    <w:rsid w:val="009E191A"/>
    <w:rsid w:val="009E4848"/>
    <w:rsid w:val="009E53F2"/>
    <w:rsid w:val="009E64A2"/>
    <w:rsid w:val="009E7F8A"/>
    <w:rsid w:val="009F051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194"/>
    <w:rsid w:val="00A9426C"/>
    <w:rsid w:val="00A94E25"/>
    <w:rsid w:val="00A94E51"/>
    <w:rsid w:val="00A95325"/>
    <w:rsid w:val="00A95C51"/>
    <w:rsid w:val="00A96247"/>
    <w:rsid w:val="00A97B95"/>
    <w:rsid w:val="00AA028E"/>
    <w:rsid w:val="00AA0F35"/>
    <w:rsid w:val="00AA1FC8"/>
    <w:rsid w:val="00AA2F9E"/>
    <w:rsid w:val="00AA307C"/>
    <w:rsid w:val="00AA3ACB"/>
    <w:rsid w:val="00AA40A0"/>
    <w:rsid w:val="00AA4206"/>
    <w:rsid w:val="00AA5131"/>
    <w:rsid w:val="00AA5960"/>
    <w:rsid w:val="00AA6C22"/>
    <w:rsid w:val="00AA7178"/>
    <w:rsid w:val="00AA73BE"/>
    <w:rsid w:val="00AB0805"/>
    <w:rsid w:val="00AB08DF"/>
    <w:rsid w:val="00AB1852"/>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47ADF"/>
    <w:rsid w:val="00B50584"/>
    <w:rsid w:val="00B52E84"/>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A00AF"/>
    <w:rsid w:val="00BA086F"/>
    <w:rsid w:val="00BA0D18"/>
    <w:rsid w:val="00BA100B"/>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206FC"/>
    <w:rsid w:val="00C20B26"/>
    <w:rsid w:val="00C20C2C"/>
    <w:rsid w:val="00C210EB"/>
    <w:rsid w:val="00C21B39"/>
    <w:rsid w:val="00C21C2B"/>
    <w:rsid w:val="00C21FA2"/>
    <w:rsid w:val="00C221A0"/>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EEF"/>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6174"/>
    <w:rsid w:val="00CF61E0"/>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403E7"/>
    <w:rsid w:val="00D412F7"/>
    <w:rsid w:val="00D4247C"/>
    <w:rsid w:val="00D424AB"/>
    <w:rsid w:val="00D45309"/>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2508"/>
    <w:rsid w:val="00D933C1"/>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4F1"/>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0D3C"/>
    <w:rsid w:val="00EF17B6"/>
    <w:rsid w:val="00EF1AAC"/>
    <w:rsid w:val="00EF1AF6"/>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446C"/>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4DCF"/>
    <w:rsid w:val="00F85491"/>
    <w:rsid w:val="00F85849"/>
    <w:rsid w:val="00F868B4"/>
    <w:rsid w:val="00F86E5D"/>
    <w:rsid w:val="00F86EAC"/>
    <w:rsid w:val="00F8748F"/>
    <w:rsid w:val="00F90CF2"/>
    <w:rsid w:val="00F90E22"/>
    <w:rsid w:val="00F91F7A"/>
    <w:rsid w:val="00F923D2"/>
    <w:rsid w:val="00F939F0"/>
    <w:rsid w:val="00F9421B"/>
    <w:rsid w:val="00F94F58"/>
    <w:rsid w:val="00F95379"/>
    <w:rsid w:val="00F96693"/>
    <w:rsid w:val="00F97003"/>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D0289"/>
    <w:rsid w:val="00FD0A30"/>
    <w:rsid w:val="00FD16DE"/>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15:docId w15:val="{A49B58CF-D145-4B2A-BCBE-D0DE0D954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3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eader" Target="header2.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054BE5-DDAF-4045-A3C0-AD554940D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Pages>
  <Words>3964</Words>
  <Characters>21409</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25323</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Willy Ank de Morais</cp:lastModifiedBy>
  <cp:revision>11</cp:revision>
  <cp:lastPrinted>2016-09-13T03:47:00Z</cp:lastPrinted>
  <dcterms:created xsi:type="dcterms:W3CDTF">2016-10-01T14:46:00Z</dcterms:created>
  <dcterms:modified xsi:type="dcterms:W3CDTF">2016-10-01T15:34:00Z</dcterms:modified>
</cp:coreProperties>
</file>