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47B02C" w14:textId="77777777" w:rsidR="003A2AF7" w:rsidRDefault="003A2AF7" w:rsidP="003A2AF7">
      <w:pPr>
        <w:pStyle w:val="Ttulo1"/>
        <w:spacing w:before="54" w:line="276" w:lineRule="auto"/>
        <w:ind w:left="0"/>
      </w:pPr>
      <w:r>
        <w:t>XVII SIMPÓSIO INTERNACIONAL DE CIÊNCIAS INTEGRADAS</w:t>
      </w:r>
    </w:p>
    <w:p w14:paraId="173E7BAD" w14:textId="77777777" w:rsidR="003A2AF7" w:rsidRDefault="003A2AF7" w:rsidP="003A2AF7">
      <w:pPr>
        <w:pStyle w:val="Ttulo1"/>
        <w:spacing w:before="54" w:line="276" w:lineRule="auto"/>
        <w:ind w:left="0"/>
      </w:pPr>
      <w:r>
        <w:t>DA UNAERP - CAMPUS GUARUJÁ</w:t>
      </w:r>
    </w:p>
    <w:p w14:paraId="531B60B5" w14:textId="77777777" w:rsidR="003A2AF7" w:rsidRDefault="003A2AF7" w:rsidP="003A2AF7">
      <w:pPr>
        <w:pBdr>
          <w:top w:val="nil"/>
          <w:left w:val="nil"/>
          <w:bottom w:val="nil"/>
          <w:right w:val="nil"/>
          <w:between w:val="nil"/>
        </w:pBdr>
        <w:spacing w:line="360" w:lineRule="auto"/>
        <w:jc w:val="center"/>
        <w:rPr>
          <w:b/>
          <w:color w:val="000000"/>
          <w:sz w:val="24"/>
          <w:szCs w:val="24"/>
        </w:rPr>
      </w:pPr>
    </w:p>
    <w:p w14:paraId="5C59D6D2" w14:textId="3D18489C" w:rsidR="003A2AF7" w:rsidRPr="00FA342C" w:rsidRDefault="003A2AF7" w:rsidP="003A2AF7">
      <w:pPr>
        <w:spacing w:line="276" w:lineRule="auto"/>
        <w:jc w:val="center"/>
        <w:rPr>
          <w:b/>
          <w:sz w:val="24"/>
          <w:szCs w:val="24"/>
        </w:rPr>
      </w:pPr>
      <w:r w:rsidRPr="007C2A28">
        <w:rPr>
          <w:b/>
          <w:sz w:val="24"/>
          <w:szCs w:val="24"/>
        </w:rPr>
        <w:t>Análise de Falhas em Tubos de Aço Inoxidável AIS</w:t>
      </w:r>
      <w:r w:rsidR="008C79A1">
        <w:rPr>
          <w:b/>
          <w:sz w:val="24"/>
          <w:szCs w:val="24"/>
        </w:rPr>
        <w:t>I 304</w:t>
      </w:r>
      <w:r w:rsidRPr="007C2A28">
        <w:rPr>
          <w:b/>
          <w:sz w:val="24"/>
          <w:szCs w:val="24"/>
        </w:rPr>
        <w:t xml:space="preserve"> em Aquecedores Elétricos</w:t>
      </w:r>
    </w:p>
    <w:p w14:paraId="7D9312AC" w14:textId="77777777" w:rsidR="003A2AF7" w:rsidRDefault="003A2AF7" w:rsidP="003A2AF7">
      <w:pPr>
        <w:spacing w:line="360" w:lineRule="auto"/>
        <w:jc w:val="center"/>
        <w:rPr>
          <w:b/>
          <w:sz w:val="20"/>
          <w:szCs w:val="20"/>
        </w:rPr>
      </w:pPr>
    </w:p>
    <w:p w14:paraId="0E404F44" w14:textId="77777777" w:rsidR="003A2AF7" w:rsidRDefault="003A2AF7" w:rsidP="003A2AF7">
      <w:pPr>
        <w:spacing w:line="360" w:lineRule="auto"/>
        <w:jc w:val="center"/>
        <w:rPr>
          <w:b/>
          <w:sz w:val="20"/>
          <w:szCs w:val="20"/>
        </w:rPr>
      </w:pPr>
    </w:p>
    <w:p w14:paraId="542DA411" w14:textId="689B4D88" w:rsidR="003A2AF7" w:rsidRPr="00E07B27" w:rsidRDefault="003A2AF7" w:rsidP="003A2AF7">
      <w:pPr>
        <w:spacing w:line="360" w:lineRule="auto"/>
        <w:jc w:val="center"/>
        <w:rPr>
          <w:b/>
          <w:sz w:val="20"/>
          <w:szCs w:val="20"/>
        </w:rPr>
      </w:pPr>
      <w:r w:rsidRPr="007C2A28">
        <w:rPr>
          <w:b/>
          <w:sz w:val="20"/>
          <w:szCs w:val="20"/>
        </w:rPr>
        <w:t>Adriano Matos Mendes</w:t>
      </w:r>
      <w:r w:rsidRPr="007C2A28">
        <w:rPr>
          <w:b/>
          <w:sz w:val="20"/>
          <w:szCs w:val="20"/>
          <w:vertAlign w:val="superscript"/>
        </w:rPr>
        <w:t>1</w:t>
      </w:r>
      <w:r w:rsidRPr="007C2A28">
        <w:rPr>
          <w:b/>
          <w:sz w:val="20"/>
          <w:szCs w:val="20"/>
        </w:rPr>
        <w:t>; Hector Augusto Siqueira do Rosário</w:t>
      </w:r>
      <w:r w:rsidRPr="007C2A28">
        <w:rPr>
          <w:b/>
          <w:sz w:val="20"/>
          <w:szCs w:val="20"/>
          <w:vertAlign w:val="superscript"/>
        </w:rPr>
        <w:t>2</w:t>
      </w:r>
      <w:r w:rsidRPr="007C2A28">
        <w:rPr>
          <w:b/>
          <w:sz w:val="20"/>
          <w:szCs w:val="20"/>
        </w:rPr>
        <w:t xml:space="preserve">; </w:t>
      </w:r>
      <w:proofErr w:type="spellStart"/>
      <w:r w:rsidRPr="007C2A28">
        <w:rPr>
          <w:b/>
          <w:sz w:val="20"/>
          <w:szCs w:val="20"/>
        </w:rPr>
        <w:t>Kerginaldo</w:t>
      </w:r>
      <w:proofErr w:type="spellEnd"/>
      <w:r w:rsidRPr="007C2A28">
        <w:rPr>
          <w:b/>
          <w:sz w:val="20"/>
          <w:szCs w:val="20"/>
        </w:rPr>
        <w:t xml:space="preserve"> Victor da Silva Filho³; </w:t>
      </w:r>
      <w:proofErr w:type="spellStart"/>
      <w:r w:rsidRPr="007C2A28">
        <w:rPr>
          <w:b/>
          <w:sz w:val="20"/>
          <w:szCs w:val="20"/>
        </w:rPr>
        <w:t>RuanGutierrez</w:t>
      </w:r>
      <w:proofErr w:type="spellEnd"/>
      <w:r w:rsidRPr="007C2A28">
        <w:rPr>
          <w:b/>
          <w:sz w:val="20"/>
          <w:szCs w:val="20"/>
        </w:rPr>
        <w:t xml:space="preserve"> Candido</w:t>
      </w:r>
      <w:r w:rsidRPr="007C2A28">
        <w:rPr>
          <w:b/>
          <w:sz w:val="20"/>
          <w:szCs w:val="20"/>
          <w:vertAlign w:val="superscript"/>
        </w:rPr>
        <w:t>4</w:t>
      </w:r>
      <w:r>
        <w:rPr>
          <w:b/>
          <w:sz w:val="20"/>
          <w:szCs w:val="20"/>
        </w:rPr>
        <w:t xml:space="preserve">; </w:t>
      </w:r>
      <w:r w:rsidRPr="004756C9">
        <w:rPr>
          <w:b/>
          <w:sz w:val="20"/>
          <w:szCs w:val="20"/>
        </w:rPr>
        <w:t>Willy Ank de Morais</w:t>
      </w:r>
      <w:r w:rsidRPr="003A2AF7">
        <w:rPr>
          <w:b/>
          <w:sz w:val="20"/>
          <w:szCs w:val="20"/>
          <w:vertAlign w:val="superscript"/>
        </w:rPr>
        <w:t>5</w:t>
      </w:r>
    </w:p>
    <w:p w14:paraId="75FBFB23" w14:textId="77777777" w:rsidR="003A2AF7" w:rsidRDefault="003A2AF7" w:rsidP="003A2AF7">
      <w:pPr>
        <w:rPr>
          <w:sz w:val="20"/>
          <w:szCs w:val="20"/>
        </w:rPr>
      </w:pPr>
    </w:p>
    <w:p w14:paraId="5EDE5B2F" w14:textId="4D8F7618" w:rsidR="003A2AF7" w:rsidRDefault="003A2AF7" w:rsidP="003A2AF7">
      <w:pPr>
        <w:rPr>
          <w:sz w:val="20"/>
          <w:szCs w:val="20"/>
        </w:rPr>
      </w:pPr>
      <w:r w:rsidRPr="003A2AF7">
        <w:rPr>
          <w:sz w:val="20"/>
          <w:szCs w:val="20"/>
          <w:vertAlign w:val="superscript"/>
        </w:rPr>
        <w:t>1</w:t>
      </w:r>
      <w:r w:rsidRPr="00CF5024">
        <w:rPr>
          <w:sz w:val="20"/>
          <w:szCs w:val="20"/>
        </w:rPr>
        <w:t xml:space="preserve"> Universidade </w:t>
      </w:r>
      <w:r>
        <w:rPr>
          <w:sz w:val="20"/>
          <w:szCs w:val="20"/>
        </w:rPr>
        <w:t>Santa Cecilia</w:t>
      </w:r>
      <w:r w:rsidRPr="00CF5024">
        <w:rPr>
          <w:sz w:val="20"/>
          <w:szCs w:val="20"/>
        </w:rPr>
        <w:t xml:space="preserve"> (U</w:t>
      </w:r>
      <w:r>
        <w:rPr>
          <w:sz w:val="20"/>
          <w:szCs w:val="20"/>
        </w:rPr>
        <w:t>NISANTA</w:t>
      </w:r>
      <w:r w:rsidRPr="00CF5024">
        <w:rPr>
          <w:sz w:val="20"/>
          <w:szCs w:val="20"/>
        </w:rPr>
        <w:t>).</w:t>
      </w:r>
      <w:r>
        <w:rPr>
          <w:sz w:val="20"/>
          <w:szCs w:val="20"/>
        </w:rPr>
        <w:t xml:space="preserve"> Santos</w:t>
      </w:r>
      <w:r w:rsidRPr="00CF5024">
        <w:rPr>
          <w:sz w:val="20"/>
          <w:szCs w:val="20"/>
        </w:rPr>
        <w:t xml:space="preserve">, São Paulo, Brasil. </w:t>
      </w:r>
      <w:r>
        <w:rPr>
          <w:sz w:val="20"/>
          <w:szCs w:val="20"/>
        </w:rPr>
        <w:t xml:space="preserve">Discente. </w:t>
      </w:r>
      <w:r w:rsidRPr="007C2A28">
        <w:rPr>
          <w:sz w:val="20"/>
          <w:szCs w:val="20"/>
        </w:rPr>
        <w:t>adrianommendes7@yahoo.com.br</w:t>
      </w:r>
    </w:p>
    <w:p w14:paraId="0DCCBBDE" w14:textId="6E68E5EB" w:rsidR="003A2AF7" w:rsidRPr="00CF5024" w:rsidRDefault="003A2AF7" w:rsidP="003A2AF7">
      <w:pPr>
        <w:rPr>
          <w:sz w:val="20"/>
          <w:szCs w:val="20"/>
        </w:rPr>
      </w:pPr>
      <w:r>
        <w:rPr>
          <w:sz w:val="20"/>
          <w:szCs w:val="20"/>
          <w:vertAlign w:val="superscript"/>
        </w:rPr>
        <w:t>2</w:t>
      </w:r>
      <w:r w:rsidRPr="00CF5024">
        <w:rPr>
          <w:sz w:val="20"/>
          <w:szCs w:val="20"/>
        </w:rPr>
        <w:t xml:space="preserve"> Universidade </w:t>
      </w:r>
      <w:r>
        <w:rPr>
          <w:sz w:val="20"/>
          <w:szCs w:val="20"/>
        </w:rPr>
        <w:t>Santa Cecilia</w:t>
      </w:r>
      <w:r w:rsidRPr="00CF5024">
        <w:rPr>
          <w:sz w:val="20"/>
          <w:szCs w:val="20"/>
        </w:rPr>
        <w:t xml:space="preserve"> (U</w:t>
      </w:r>
      <w:r>
        <w:rPr>
          <w:sz w:val="20"/>
          <w:szCs w:val="20"/>
        </w:rPr>
        <w:t>NISANTA</w:t>
      </w:r>
      <w:r w:rsidRPr="00CF5024">
        <w:rPr>
          <w:sz w:val="20"/>
          <w:szCs w:val="20"/>
        </w:rPr>
        <w:t>).</w:t>
      </w:r>
      <w:r>
        <w:rPr>
          <w:sz w:val="20"/>
          <w:szCs w:val="20"/>
        </w:rPr>
        <w:t xml:space="preserve"> Santos</w:t>
      </w:r>
      <w:r w:rsidRPr="00CF5024">
        <w:rPr>
          <w:sz w:val="20"/>
          <w:szCs w:val="20"/>
        </w:rPr>
        <w:t xml:space="preserve">, São Paulo, Brasil. </w:t>
      </w:r>
      <w:r>
        <w:rPr>
          <w:sz w:val="20"/>
          <w:szCs w:val="20"/>
        </w:rPr>
        <w:t xml:space="preserve">Discente. </w:t>
      </w:r>
      <w:r w:rsidRPr="007C2A28">
        <w:rPr>
          <w:sz w:val="20"/>
          <w:szCs w:val="20"/>
        </w:rPr>
        <w:t>ironbronze@gmail.com</w:t>
      </w:r>
    </w:p>
    <w:p w14:paraId="024FF9BF" w14:textId="1B7C5949" w:rsidR="003A2AF7" w:rsidRPr="00CF5024" w:rsidRDefault="003A2AF7" w:rsidP="003A2AF7">
      <w:pPr>
        <w:rPr>
          <w:sz w:val="20"/>
          <w:szCs w:val="20"/>
        </w:rPr>
      </w:pPr>
      <w:r>
        <w:rPr>
          <w:sz w:val="20"/>
          <w:szCs w:val="20"/>
          <w:vertAlign w:val="superscript"/>
        </w:rPr>
        <w:t>3</w:t>
      </w:r>
      <w:r w:rsidRPr="00CF5024">
        <w:rPr>
          <w:sz w:val="20"/>
          <w:szCs w:val="20"/>
        </w:rPr>
        <w:t xml:space="preserve"> Universidade </w:t>
      </w:r>
      <w:r>
        <w:rPr>
          <w:sz w:val="20"/>
          <w:szCs w:val="20"/>
        </w:rPr>
        <w:t>Santa Cecilia</w:t>
      </w:r>
      <w:r w:rsidRPr="00CF5024">
        <w:rPr>
          <w:sz w:val="20"/>
          <w:szCs w:val="20"/>
        </w:rPr>
        <w:t xml:space="preserve"> (U</w:t>
      </w:r>
      <w:r>
        <w:rPr>
          <w:sz w:val="20"/>
          <w:szCs w:val="20"/>
        </w:rPr>
        <w:t>NISANTA</w:t>
      </w:r>
      <w:r w:rsidRPr="00CF5024">
        <w:rPr>
          <w:sz w:val="20"/>
          <w:szCs w:val="20"/>
        </w:rPr>
        <w:t>).</w:t>
      </w:r>
      <w:r>
        <w:rPr>
          <w:sz w:val="20"/>
          <w:szCs w:val="20"/>
        </w:rPr>
        <w:t xml:space="preserve"> Santos</w:t>
      </w:r>
      <w:r w:rsidRPr="00CF5024">
        <w:rPr>
          <w:sz w:val="20"/>
          <w:szCs w:val="20"/>
        </w:rPr>
        <w:t xml:space="preserve">, São Paulo, Brasil. </w:t>
      </w:r>
      <w:r>
        <w:rPr>
          <w:sz w:val="20"/>
          <w:szCs w:val="20"/>
        </w:rPr>
        <w:t xml:space="preserve">Discente. </w:t>
      </w:r>
      <w:r w:rsidRPr="007C2A28">
        <w:rPr>
          <w:sz w:val="20"/>
          <w:szCs w:val="20"/>
        </w:rPr>
        <w:t>naldo.victor@hotmail.com</w:t>
      </w:r>
    </w:p>
    <w:p w14:paraId="512CD829" w14:textId="2D048C3C" w:rsidR="003A2AF7" w:rsidRPr="00CF5024" w:rsidRDefault="003A2AF7" w:rsidP="003A2AF7">
      <w:pPr>
        <w:rPr>
          <w:sz w:val="20"/>
          <w:szCs w:val="20"/>
        </w:rPr>
      </w:pPr>
      <w:r>
        <w:rPr>
          <w:sz w:val="20"/>
          <w:szCs w:val="20"/>
          <w:vertAlign w:val="superscript"/>
        </w:rPr>
        <w:t>4</w:t>
      </w:r>
      <w:r w:rsidRPr="00CF5024">
        <w:rPr>
          <w:sz w:val="20"/>
          <w:szCs w:val="20"/>
        </w:rPr>
        <w:t xml:space="preserve"> Universidade </w:t>
      </w:r>
      <w:r>
        <w:rPr>
          <w:sz w:val="20"/>
          <w:szCs w:val="20"/>
        </w:rPr>
        <w:t>Santa Cecilia</w:t>
      </w:r>
      <w:r w:rsidRPr="00CF5024">
        <w:rPr>
          <w:sz w:val="20"/>
          <w:szCs w:val="20"/>
        </w:rPr>
        <w:t xml:space="preserve"> (U</w:t>
      </w:r>
      <w:r>
        <w:rPr>
          <w:sz w:val="20"/>
          <w:szCs w:val="20"/>
        </w:rPr>
        <w:t>NISANTA</w:t>
      </w:r>
      <w:r w:rsidRPr="00CF5024">
        <w:rPr>
          <w:sz w:val="20"/>
          <w:szCs w:val="20"/>
        </w:rPr>
        <w:t>).</w:t>
      </w:r>
      <w:r>
        <w:rPr>
          <w:sz w:val="20"/>
          <w:szCs w:val="20"/>
        </w:rPr>
        <w:t xml:space="preserve"> Santos</w:t>
      </w:r>
      <w:r w:rsidRPr="00CF5024">
        <w:rPr>
          <w:sz w:val="20"/>
          <w:szCs w:val="20"/>
        </w:rPr>
        <w:t xml:space="preserve">, São Paulo, Brasil. </w:t>
      </w:r>
      <w:r>
        <w:rPr>
          <w:sz w:val="20"/>
          <w:szCs w:val="20"/>
        </w:rPr>
        <w:t xml:space="preserve">Discente. </w:t>
      </w:r>
      <w:r w:rsidRPr="007C2A28">
        <w:rPr>
          <w:sz w:val="20"/>
          <w:szCs w:val="20"/>
        </w:rPr>
        <w:t>ruan_guti@hotmail.com</w:t>
      </w:r>
    </w:p>
    <w:p w14:paraId="573F9695" w14:textId="268CEEB1" w:rsidR="003A2AF7" w:rsidRDefault="003A2AF7" w:rsidP="003A2AF7">
      <w:pPr>
        <w:rPr>
          <w:sz w:val="20"/>
          <w:szCs w:val="20"/>
        </w:rPr>
      </w:pPr>
      <w:r w:rsidRPr="003A2AF7">
        <w:rPr>
          <w:sz w:val="20"/>
          <w:szCs w:val="20"/>
          <w:vertAlign w:val="superscript"/>
        </w:rPr>
        <w:t>5</w:t>
      </w:r>
      <w:r>
        <w:rPr>
          <w:sz w:val="20"/>
          <w:szCs w:val="20"/>
        </w:rPr>
        <w:t xml:space="preserve"> </w:t>
      </w:r>
      <w:r w:rsidRPr="00B12533">
        <w:rPr>
          <w:sz w:val="20"/>
          <w:szCs w:val="20"/>
        </w:rPr>
        <w:t>Universidade de Ribeirão Preto (UNAERP). Guarujá, São Paulo, Brasil. Pesquisador e docente</w:t>
      </w:r>
      <w:r>
        <w:rPr>
          <w:sz w:val="20"/>
          <w:szCs w:val="20"/>
        </w:rPr>
        <w:t xml:space="preserve">. </w:t>
      </w:r>
    </w:p>
    <w:p w14:paraId="3D80AC31" w14:textId="77777777" w:rsidR="003A2AF7" w:rsidRDefault="003A2AF7" w:rsidP="003A2AF7">
      <w:pPr>
        <w:rPr>
          <w:sz w:val="20"/>
          <w:szCs w:val="20"/>
        </w:rPr>
      </w:pPr>
      <w:r w:rsidRPr="00723F38">
        <w:rPr>
          <w:sz w:val="20"/>
          <w:szCs w:val="20"/>
        </w:rPr>
        <w:t>willyank@unisanta.br</w:t>
      </w:r>
    </w:p>
    <w:p w14:paraId="0C5ABA62" w14:textId="77777777" w:rsidR="003A2AF7" w:rsidRDefault="003A2AF7" w:rsidP="003A2AF7">
      <w:pPr>
        <w:rPr>
          <w:sz w:val="20"/>
          <w:szCs w:val="20"/>
        </w:rPr>
      </w:pPr>
    </w:p>
    <w:p w14:paraId="0FACE845" w14:textId="77777777" w:rsidR="003A2AF7" w:rsidRDefault="003A2AF7" w:rsidP="003A2AF7">
      <w:pPr>
        <w:jc w:val="center"/>
        <w:rPr>
          <w:b/>
          <w:sz w:val="20"/>
          <w:szCs w:val="20"/>
        </w:rPr>
      </w:pPr>
      <w:r w:rsidRPr="00FE5FEB">
        <w:rPr>
          <w:b/>
          <w:sz w:val="20"/>
          <w:szCs w:val="20"/>
        </w:rPr>
        <w:t>Este simpósio tem o apoio da Fundação Fernando Eduardo Lee</w:t>
      </w:r>
    </w:p>
    <w:p w14:paraId="7757480D" w14:textId="77777777" w:rsidR="003A2AF7" w:rsidRPr="00611C28" w:rsidRDefault="003A2AF7" w:rsidP="003A2AF7">
      <w:pPr>
        <w:jc w:val="center"/>
        <w:rPr>
          <w:b/>
          <w:sz w:val="20"/>
          <w:szCs w:val="20"/>
        </w:rPr>
      </w:pPr>
    </w:p>
    <w:p w14:paraId="6A740245" w14:textId="77777777" w:rsidR="003A2AF7" w:rsidRPr="00611C28" w:rsidRDefault="003A2AF7" w:rsidP="003A2AF7">
      <w:pPr>
        <w:jc w:val="center"/>
        <w:rPr>
          <w:b/>
          <w:sz w:val="20"/>
          <w:szCs w:val="20"/>
        </w:rPr>
      </w:pPr>
    </w:p>
    <w:p w14:paraId="7F881277" w14:textId="77777777" w:rsidR="003A2AF7" w:rsidRPr="00611C28" w:rsidRDefault="003A2AF7" w:rsidP="003A2AF7">
      <w:pPr>
        <w:jc w:val="both"/>
        <w:rPr>
          <w:b/>
          <w:sz w:val="20"/>
          <w:szCs w:val="20"/>
          <w:shd w:val="clear" w:color="auto" w:fill="FFFFFF"/>
        </w:rPr>
      </w:pPr>
      <w:r w:rsidRPr="00611C28">
        <w:rPr>
          <w:b/>
          <w:sz w:val="20"/>
          <w:szCs w:val="20"/>
        </w:rPr>
        <w:t>Engenharia de Produção: Engenharia do Produto</w:t>
      </w:r>
    </w:p>
    <w:p w14:paraId="223953AC" w14:textId="77777777" w:rsidR="003A2AF7" w:rsidRPr="00611C28" w:rsidRDefault="003A2AF7" w:rsidP="003A2AF7">
      <w:pPr>
        <w:jc w:val="both"/>
        <w:rPr>
          <w:b/>
          <w:sz w:val="20"/>
          <w:szCs w:val="20"/>
        </w:rPr>
      </w:pPr>
    </w:p>
    <w:p w14:paraId="0C4BAB74" w14:textId="77777777" w:rsidR="003A2AF7" w:rsidRPr="00611C28" w:rsidRDefault="003A2AF7" w:rsidP="003A2AF7">
      <w:pPr>
        <w:jc w:val="both"/>
        <w:rPr>
          <w:b/>
          <w:sz w:val="20"/>
          <w:szCs w:val="20"/>
        </w:rPr>
      </w:pPr>
      <w:r w:rsidRPr="00611C28">
        <w:rPr>
          <w:b/>
          <w:sz w:val="20"/>
          <w:szCs w:val="20"/>
        </w:rPr>
        <w:t xml:space="preserve">Formato: artigo </w:t>
      </w:r>
    </w:p>
    <w:p w14:paraId="4DFD3CEF" w14:textId="77777777" w:rsidR="003A2AF7" w:rsidRPr="00611C28" w:rsidRDefault="003A2AF7" w:rsidP="003A2AF7">
      <w:pPr>
        <w:jc w:val="both"/>
        <w:rPr>
          <w:b/>
          <w:sz w:val="20"/>
          <w:szCs w:val="20"/>
        </w:rPr>
      </w:pPr>
    </w:p>
    <w:p w14:paraId="071774B8" w14:textId="77777777" w:rsidR="003A2AF7" w:rsidRPr="00611C28" w:rsidRDefault="003A2AF7" w:rsidP="003A2AF7">
      <w:pPr>
        <w:jc w:val="both"/>
        <w:rPr>
          <w:b/>
          <w:sz w:val="20"/>
          <w:szCs w:val="20"/>
        </w:rPr>
      </w:pPr>
      <w:r w:rsidRPr="00611C28">
        <w:rPr>
          <w:b/>
          <w:sz w:val="20"/>
          <w:szCs w:val="20"/>
        </w:rPr>
        <w:t>Apresentação: oral (apresentação em slides por meio do Google Meet)</w:t>
      </w:r>
    </w:p>
    <w:p w14:paraId="29E56CCB" w14:textId="77777777" w:rsidR="003A2AF7" w:rsidRPr="00611C28" w:rsidRDefault="003A2AF7" w:rsidP="003A2AF7">
      <w:pPr>
        <w:jc w:val="both"/>
        <w:rPr>
          <w:b/>
          <w:sz w:val="20"/>
          <w:szCs w:val="20"/>
        </w:rPr>
      </w:pPr>
    </w:p>
    <w:p w14:paraId="618B7931" w14:textId="77777777" w:rsidR="003A2AF7" w:rsidRDefault="003A2AF7" w:rsidP="003A2AF7">
      <w:pPr>
        <w:jc w:val="both"/>
        <w:rPr>
          <w:b/>
          <w:sz w:val="24"/>
          <w:szCs w:val="24"/>
        </w:rPr>
      </w:pPr>
      <w:r>
        <w:rPr>
          <w:b/>
          <w:sz w:val="24"/>
          <w:szCs w:val="24"/>
        </w:rPr>
        <w:t>RESUMO</w:t>
      </w:r>
    </w:p>
    <w:p w14:paraId="1844FFCF" w14:textId="624552B2" w:rsidR="00E07B27" w:rsidRPr="007C2A28" w:rsidRDefault="0010631F" w:rsidP="00041200">
      <w:pPr>
        <w:jc w:val="both"/>
        <w:rPr>
          <w:sz w:val="24"/>
          <w:szCs w:val="24"/>
        </w:rPr>
      </w:pPr>
      <w:r w:rsidRPr="007C2A28">
        <w:rPr>
          <w:sz w:val="24"/>
          <w:szCs w:val="24"/>
        </w:rPr>
        <w:t xml:space="preserve">O aumento da demanda por energia a partir do petróleo tem feito com que plataformas de petróleo busquem alternativas para redução da manutenção dos equipamentos, liberando mais tempo para a produção. Além de reduzir despesas substancialmente, prevenir processo corrosivo e o seu controle é fundamental para proteger a segurança operacional e o meio ambiente. O emprego do aço inoxidável tem se mostrado uma das principais ferramentas para esta redução. Entretanto, erros de especificação podem levar a falhas prematuras, devido às condições de trabalho do equipamento é recomendável o emprego de aços inoxidáveis com maior resistência à corrosão, como o tradicional AISI 304. Em decorrência da forte influência de cloreto e temperatura, tem-se procurado estabelecer valores limites de concentração de cloreto nos quais não acontecem a corrosão por pite e a corrosão sob tensão. Os fenômenos relacionados à corrosão são complexos, envolvendo numerosos fatores, alguns difíceis de caracterizar exatamente. Foram utilizadas técnicas de análise química via úmida, metalografia, microscópio ótica, microscópio eletrônica de varredura e espectroscopia por dispersão de energia para caracterizar os tubos do aquecedor elétrico, enviados pela plataforma. Os resultados apontaram deposição de cloreto nas paredes internas dos tubos, a presença de alta concentração de cloreto, encontrado na análise dispersiva de energia, acelerou o processo corrosivo. O aço inoxidável AISI </w:t>
      </w:r>
      <w:r w:rsidRPr="007C2A28">
        <w:rPr>
          <w:sz w:val="24"/>
          <w:szCs w:val="24"/>
        </w:rPr>
        <w:lastRenderedPageBreak/>
        <w:t>304, demonstrou resultados satisfatórios para o emprego no aquecedor elétrico. É recomendável o aprimoramento no controle de qualidade do fluido, evitando quaisquer contaminações com água salgada, ao longo de todas as etapas de limpeza executadas pelo sistema.</w:t>
      </w:r>
    </w:p>
    <w:p w14:paraId="1844FFD0" w14:textId="77777777" w:rsidR="00E07B27" w:rsidRPr="007C2A28" w:rsidRDefault="00E07B27" w:rsidP="00E07B27">
      <w:pPr>
        <w:jc w:val="both"/>
        <w:rPr>
          <w:sz w:val="24"/>
          <w:szCs w:val="24"/>
        </w:rPr>
      </w:pPr>
    </w:p>
    <w:p w14:paraId="1844FFD1" w14:textId="349AD70A" w:rsidR="00E07B27" w:rsidRPr="007C2A28" w:rsidRDefault="00E07B27" w:rsidP="00E07B27">
      <w:pPr>
        <w:jc w:val="both"/>
        <w:rPr>
          <w:sz w:val="24"/>
          <w:szCs w:val="24"/>
        </w:rPr>
      </w:pPr>
      <w:r w:rsidRPr="007C2A28">
        <w:rPr>
          <w:b/>
          <w:sz w:val="24"/>
          <w:szCs w:val="24"/>
        </w:rPr>
        <w:t>Palavras-chave:</w:t>
      </w:r>
      <w:r w:rsidRPr="007C2A28">
        <w:rPr>
          <w:sz w:val="24"/>
          <w:szCs w:val="24"/>
        </w:rPr>
        <w:t xml:space="preserve"> </w:t>
      </w:r>
      <w:r w:rsidR="0010631F" w:rsidRPr="007C2A28">
        <w:rPr>
          <w:sz w:val="24"/>
          <w:szCs w:val="24"/>
        </w:rPr>
        <w:t>Corrosão, Aço Inoxidável, Tubos.</w:t>
      </w:r>
    </w:p>
    <w:p w14:paraId="1844FFD2" w14:textId="77777777" w:rsidR="00E07B27" w:rsidRPr="007C2A28" w:rsidRDefault="00E07B27" w:rsidP="00E07B27">
      <w:pPr>
        <w:jc w:val="both"/>
        <w:rPr>
          <w:b/>
          <w:sz w:val="24"/>
          <w:szCs w:val="24"/>
        </w:rPr>
      </w:pPr>
    </w:p>
    <w:p w14:paraId="1844FFD3" w14:textId="77777777" w:rsidR="00E07B27" w:rsidRPr="007C2A28" w:rsidRDefault="00E07B27" w:rsidP="00E07B27">
      <w:pPr>
        <w:jc w:val="both"/>
        <w:rPr>
          <w:b/>
          <w:sz w:val="24"/>
          <w:szCs w:val="24"/>
          <w:lang w:val="en-US"/>
        </w:rPr>
      </w:pPr>
      <w:r w:rsidRPr="007C2A28">
        <w:rPr>
          <w:b/>
          <w:sz w:val="24"/>
          <w:szCs w:val="24"/>
          <w:lang w:val="en-US"/>
        </w:rPr>
        <w:t>ABSTRACT</w:t>
      </w:r>
    </w:p>
    <w:p w14:paraId="1844FFD5" w14:textId="045DAB47" w:rsidR="00E07B27" w:rsidRPr="007C2A28" w:rsidRDefault="0010631F" w:rsidP="008C79A1">
      <w:pPr>
        <w:jc w:val="both"/>
        <w:rPr>
          <w:sz w:val="24"/>
          <w:szCs w:val="24"/>
          <w:lang w:val="en-US"/>
        </w:rPr>
      </w:pPr>
      <w:r w:rsidRPr="007C2A28">
        <w:rPr>
          <w:sz w:val="24"/>
          <w:szCs w:val="24"/>
          <w:lang w:val="en-US"/>
        </w:rPr>
        <w:t>Rising demands for crude oil-based energy has incentivized offshore rigs to strive for better alternatives in reducing maintenance requirements of available equipment, thus allowing for longer operational periods. In addition to reducing costs by a substantial amount, preventing and controlling corrosive processes is essential for operational safety and the environment. The use of stainless steel has been shown to be among the most effective methods in such endeavors. However, incorrect specifications may lead to premature equipment failure. According to work conditions, the use of stainless steels with higher resistance to corrosion, such as the common AISI 304, is usually recommended. Due to the prominent effects of chlorides and high temperatures, studies have been made in order to establish an upper threshold for chloride concentration where pitting corrosion and stress corrosion cracking may not occur. Corrosion-related phenomena are quite complex and involve numerous factors, some of which are difficult to accurately define. Wet chemical analysis, metallographic analysis, optical microscopy, scanning electron microscopy and energy-dispersive spectroscopy techniques were used to characterize affected electric heater tubes that were provided by a complying offshore rig for study. Results indicate significant chloride deposits along the tubes’ inner walls, and that the presence of chlorides, as energy-dispersive analysis has shown, has only hastened the corrosive process of the material. Nevertheless, AISI 304 stainless steel has demonstrated satisfactory performance in electric heater tubing systems. It is, however, recommended that the quality control criteria for fluids within the tubing should be improved in order to prevent contamination from salt water during cleaning processes performed by the system.</w:t>
      </w:r>
    </w:p>
    <w:p w14:paraId="18806869" w14:textId="77777777" w:rsidR="0010631F" w:rsidRPr="007C2A28" w:rsidRDefault="0010631F" w:rsidP="0010631F">
      <w:pPr>
        <w:spacing w:line="276" w:lineRule="auto"/>
        <w:jc w:val="both"/>
        <w:rPr>
          <w:sz w:val="24"/>
          <w:szCs w:val="24"/>
          <w:lang w:val="en-US"/>
        </w:rPr>
      </w:pPr>
    </w:p>
    <w:p w14:paraId="1844FFD6" w14:textId="39D1B7E2" w:rsidR="00E07B27" w:rsidRPr="007C2A28" w:rsidRDefault="00E07B27" w:rsidP="0010631F">
      <w:pPr>
        <w:spacing w:line="276" w:lineRule="auto"/>
        <w:jc w:val="both"/>
        <w:rPr>
          <w:sz w:val="24"/>
          <w:szCs w:val="24"/>
          <w:lang w:val="en-US"/>
        </w:rPr>
      </w:pPr>
      <w:proofErr w:type="gramStart"/>
      <w:r w:rsidRPr="007C2A28">
        <w:rPr>
          <w:b/>
          <w:sz w:val="24"/>
          <w:szCs w:val="24"/>
          <w:lang w:val="en-US"/>
        </w:rPr>
        <w:t>Key-words</w:t>
      </w:r>
      <w:proofErr w:type="gramEnd"/>
      <w:r w:rsidRPr="007C2A28">
        <w:rPr>
          <w:b/>
          <w:sz w:val="24"/>
          <w:szCs w:val="24"/>
          <w:lang w:val="en-US"/>
        </w:rPr>
        <w:t>:</w:t>
      </w:r>
      <w:r w:rsidRPr="007C2A28">
        <w:rPr>
          <w:sz w:val="24"/>
          <w:szCs w:val="24"/>
          <w:lang w:val="en-US"/>
        </w:rPr>
        <w:t xml:space="preserve"> </w:t>
      </w:r>
      <w:r w:rsidR="0010631F" w:rsidRPr="007C2A28">
        <w:rPr>
          <w:sz w:val="24"/>
          <w:szCs w:val="24"/>
          <w:lang w:val="en-US"/>
        </w:rPr>
        <w:t>Corrosion, Stainless Steel, Tubes.</w:t>
      </w:r>
    </w:p>
    <w:p w14:paraId="05BB7734" w14:textId="3D58140D" w:rsidR="006825E0" w:rsidRPr="007C2A28" w:rsidRDefault="006825E0">
      <w:pPr>
        <w:rPr>
          <w:sz w:val="24"/>
          <w:szCs w:val="24"/>
          <w:lang w:val="en-US"/>
        </w:rPr>
      </w:pPr>
    </w:p>
    <w:p w14:paraId="4D05789C" w14:textId="77777777" w:rsidR="006825E0" w:rsidRPr="007C2A28" w:rsidRDefault="006825E0" w:rsidP="00E07B27">
      <w:pPr>
        <w:spacing w:line="360" w:lineRule="auto"/>
        <w:jc w:val="both"/>
        <w:rPr>
          <w:sz w:val="24"/>
          <w:szCs w:val="24"/>
          <w:lang w:val="en-US"/>
        </w:rPr>
      </w:pPr>
    </w:p>
    <w:p w14:paraId="1844FFD8" w14:textId="77777777" w:rsidR="00E07B27" w:rsidRPr="007C2A28" w:rsidRDefault="00E07B27" w:rsidP="00E07B27">
      <w:pPr>
        <w:spacing w:line="360" w:lineRule="auto"/>
        <w:jc w:val="both"/>
        <w:rPr>
          <w:b/>
          <w:sz w:val="24"/>
          <w:szCs w:val="24"/>
        </w:rPr>
      </w:pPr>
      <w:r w:rsidRPr="007C2A28">
        <w:rPr>
          <w:b/>
          <w:sz w:val="24"/>
          <w:szCs w:val="24"/>
        </w:rPr>
        <w:t>1 INTRODUÇÃO</w:t>
      </w:r>
    </w:p>
    <w:p w14:paraId="5791CA2F" w14:textId="1840D385" w:rsidR="0010631F" w:rsidRPr="007C2A28" w:rsidRDefault="0010631F" w:rsidP="008C79A1">
      <w:pPr>
        <w:spacing w:line="276" w:lineRule="auto"/>
        <w:ind w:firstLine="567"/>
        <w:jc w:val="both"/>
        <w:rPr>
          <w:sz w:val="24"/>
          <w:szCs w:val="24"/>
        </w:rPr>
      </w:pPr>
      <w:r w:rsidRPr="007C2A28">
        <w:rPr>
          <w:sz w:val="24"/>
          <w:szCs w:val="24"/>
        </w:rPr>
        <w:t>O sistema de remoção de sulfato (SO</w:t>
      </w:r>
      <w:r w:rsidRPr="008C79A1">
        <w:rPr>
          <w:sz w:val="24"/>
          <w:szCs w:val="24"/>
          <w:vertAlign w:val="subscript"/>
        </w:rPr>
        <w:t>4-2</w:t>
      </w:r>
      <w:r w:rsidRPr="007C2A28">
        <w:rPr>
          <w:sz w:val="24"/>
          <w:szCs w:val="24"/>
        </w:rPr>
        <w:t>) para tratamento da água de injeção, tem como objetivo evitar incrustações inorgânicas nos reservatórios com poços WAG (</w:t>
      </w:r>
      <w:proofErr w:type="spellStart"/>
      <w:r w:rsidRPr="007C2A28">
        <w:rPr>
          <w:sz w:val="24"/>
          <w:szCs w:val="24"/>
        </w:rPr>
        <w:t>Water</w:t>
      </w:r>
      <w:proofErr w:type="spellEnd"/>
      <w:r w:rsidRPr="007C2A28">
        <w:rPr>
          <w:sz w:val="24"/>
          <w:szCs w:val="24"/>
        </w:rPr>
        <w:t xml:space="preserve"> </w:t>
      </w:r>
      <w:proofErr w:type="spellStart"/>
      <w:r w:rsidRPr="007C2A28">
        <w:rPr>
          <w:sz w:val="24"/>
          <w:szCs w:val="24"/>
        </w:rPr>
        <w:t>Alternating</w:t>
      </w:r>
      <w:proofErr w:type="spellEnd"/>
      <w:r w:rsidRPr="007C2A28">
        <w:rPr>
          <w:sz w:val="24"/>
          <w:szCs w:val="24"/>
        </w:rPr>
        <w:t xml:space="preserve"> </w:t>
      </w:r>
      <w:proofErr w:type="spellStart"/>
      <w:r w:rsidRPr="007C2A28">
        <w:rPr>
          <w:sz w:val="24"/>
          <w:szCs w:val="24"/>
        </w:rPr>
        <w:t>Gas</w:t>
      </w:r>
      <w:proofErr w:type="spellEnd"/>
      <w:r w:rsidRPr="007C2A28">
        <w:rPr>
          <w:sz w:val="24"/>
          <w:szCs w:val="24"/>
        </w:rPr>
        <w:t xml:space="preserve">), incrustações estas ocasionadas pela reação entre o ânion sulfato e os cátions bário e estrôncio, cuja reação tem como consequência a formação de sais insolúveis obstruindo o escoamento de água de injeção, incorrendo em redução de energia no reservatório com consequente redução de aproveitamento de gás e petróleo. É composto por cinco trens de membranas de </w:t>
      </w:r>
      <w:proofErr w:type="spellStart"/>
      <w:r w:rsidRPr="007C2A28">
        <w:rPr>
          <w:sz w:val="24"/>
          <w:szCs w:val="24"/>
        </w:rPr>
        <w:t>nanofiltragem</w:t>
      </w:r>
      <w:proofErr w:type="spellEnd"/>
      <w:r w:rsidRPr="007C2A28">
        <w:rPr>
          <w:sz w:val="24"/>
          <w:szCs w:val="24"/>
        </w:rPr>
        <w:t xml:space="preserve"> (UT-1251001A/E). Cada trem possui três bancos de filtração divididos em dois estágios em série, no qual o primeiro estágio engloba dois bancos em paralelo (32 membranas) com fluxo de concentrado direcionado ao segundo estágio (banco único de 13 membranas). Os permeados dos estágios alimentam a </w:t>
      </w:r>
      <w:proofErr w:type="spellStart"/>
      <w:r w:rsidRPr="007C2A28">
        <w:rPr>
          <w:sz w:val="24"/>
          <w:szCs w:val="24"/>
        </w:rPr>
        <w:t>desaeradora</w:t>
      </w:r>
      <w:proofErr w:type="spellEnd"/>
      <w:r w:rsidRPr="007C2A28">
        <w:rPr>
          <w:sz w:val="24"/>
          <w:szCs w:val="24"/>
        </w:rPr>
        <w:t xml:space="preserve"> (D-UT-1251002), </w:t>
      </w:r>
      <w:r w:rsidRPr="007C2A28">
        <w:rPr>
          <w:sz w:val="24"/>
          <w:szCs w:val="24"/>
        </w:rPr>
        <w:lastRenderedPageBreak/>
        <w:t>representando 75% de recuperaçã</w:t>
      </w:r>
      <w:r w:rsidR="008C79A1">
        <w:rPr>
          <w:sz w:val="24"/>
          <w:szCs w:val="24"/>
        </w:rPr>
        <w:t>o total da corrente de entrada mostrado na Figura 01.</w:t>
      </w:r>
    </w:p>
    <w:p w14:paraId="0F06589A" w14:textId="77777777" w:rsidR="0010631F" w:rsidRPr="007C2A28" w:rsidRDefault="0010631F" w:rsidP="0010631F">
      <w:pPr>
        <w:spacing w:line="276" w:lineRule="auto"/>
        <w:ind w:firstLine="720"/>
        <w:jc w:val="both"/>
        <w:rPr>
          <w:sz w:val="24"/>
          <w:szCs w:val="24"/>
        </w:rPr>
      </w:pPr>
    </w:p>
    <w:p w14:paraId="7A654FB9" w14:textId="093717C0" w:rsidR="009E76E6" w:rsidRPr="007C2A28" w:rsidRDefault="0010631F" w:rsidP="008C79A1">
      <w:pPr>
        <w:spacing w:line="276" w:lineRule="auto"/>
        <w:ind w:firstLine="567"/>
        <w:jc w:val="both"/>
        <w:rPr>
          <w:sz w:val="24"/>
          <w:szCs w:val="24"/>
        </w:rPr>
      </w:pPr>
      <w:r w:rsidRPr="007C2A28">
        <w:rPr>
          <w:sz w:val="24"/>
          <w:szCs w:val="24"/>
        </w:rPr>
        <w:t>Durante operação normal, as membranas estão sujeitas, progressivamente, a incrustações, que acabam por reduzir sua eficiência. O efeito da contaminação biológica e de particulados é mais pronunciado no primeiro estágio, ao passo que a deposição de sais de sulfato é mais significativo no segundo estágio. Para mitigar o efeito deletério das incrustações e evitar que fosse necessário remover as membranas para executar sua limpeza, o sistema é dotado de uma unidade para limpeza química local (</w:t>
      </w:r>
      <w:proofErr w:type="spellStart"/>
      <w:r w:rsidRPr="008C79A1">
        <w:rPr>
          <w:i/>
          <w:sz w:val="24"/>
          <w:szCs w:val="24"/>
        </w:rPr>
        <w:t>cleaning</w:t>
      </w:r>
      <w:proofErr w:type="spellEnd"/>
      <w:r w:rsidRPr="008C79A1">
        <w:rPr>
          <w:i/>
          <w:sz w:val="24"/>
          <w:szCs w:val="24"/>
        </w:rPr>
        <w:t xml:space="preserve"> in </w:t>
      </w:r>
      <w:proofErr w:type="spellStart"/>
      <w:r w:rsidRPr="008C79A1">
        <w:rPr>
          <w:i/>
          <w:sz w:val="24"/>
          <w:szCs w:val="24"/>
        </w:rPr>
        <w:t>place</w:t>
      </w:r>
      <w:proofErr w:type="spellEnd"/>
      <w:r w:rsidRPr="007C2A28">
        <w:rPr>
          <w:sz w:val="24"/>
          <w:szCs w:val="24"/>
        </w:rPr>
        <w:t xml:space="preserve"> – CIP</w:t>
      </w:r>
      <w:r w:rsidR="008C79A1">
        <w:rPr>
          <w:sz w:val="24"/>
          <w:szCs w:val="24"/>
        </w:rPr>
        <w:t>), conforme ilustrado pela Figura 02.</w:t>
      </w:r>
    </w:p>
    <w:p w14:paraId="5B2D3F07" w14:textId="77777777" w:rsidR="009E76E6" w:rsidRPr="007C2A28" w:rsidRDefault="009E76E6" w:rsidP="009E76E6">
      <w:pPr>
        <w:spacing w:line="276" w:lineRule="auto"/>
        <w:ind w:firstLine="720"/>
        <w:jc w:val="both"/>
        <w:rPr>
          <w:sz w:val="24"/>
          <w:szCs w:val="24"/>
        </w:rPr>
      </w:pPr>
    </w:p>
    <w:p w14:paraId="515D25F5" w14:textId="71D7CF00" w:rsidR="0010631F" w:rsidRPr="007C2A28" w:rsidRDefault="009E76E6" w:rsidP="009E76E6">
      <w:pPr>
        <w:spacing w:line="276" w:lineRule="auto"/>
        <w:jc w:val="center"/>
        <w:rPr>
          <w:szCs w:val="24"/>
        </w:rPr>
      </w:pPr>
      <w:r w:rsidRPr="007C2A28">
        <w:rPr>
          <w:b/>
          <w:bCs/>
          <w:sz w:val="20"/>
        </w:rPr>
        <w:t>Figura 01. Unidade de remoção de sulfato com fluxograma de processo dos bancos de filtração.</w:t>
      </w:r>
    </w:p>
    <w:p w14:paraId="7D8607D5" w14:textId="0A819A0C" w:rsidR="0010631F" w:rsidRPr="007C2A28" w:rsidRDefault="0010631F" w:rsidP="0010631F">
      <w:pPr>
        <w:pStyle w:val="TextodoArtigo"/>
        <w:jc w:val="center"/>
        <w:rPr>
          <w:rFonts w:ascii="Arial" w:hAnsi="Arial" w:cs="Arial"/>
        </w:rPr>
      </w:pPr>
      <w:r w:rsidRPr="007C2A28">
        <w:rPr>
          <w:rFonts w:ascii="Arial" w:hAnsi="Arial" w:cs="Arial"/>
          <w:noProof/>
          <w:lang w:eastAsia="pt-BR"/>
        </w:rPr>
        <w:drawing>
          <wp:inline distT="0" distB="0" distL="0" distR="0" wp14:anchorId="5F31C3E2" wp14:editId="1C340A9F">
            <wp:extent cx="2311876" cy="2090057"/>
            <wp:effectExtent l="0" t="0" r="0" b="571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320596" cy="2097940"/>
                    </a:xfrm>
                    <a:prstGeom prst="rect">
                      <a:avLst/>
                    </a:prstGeom>
                    <a:noFill/>
                    <a:ln>
                      <a:noFill/>
                    </a:ln>
                  </pic:spPr>
                </pic:pic>
              </a:graphicData>
            </a:graphic>
          </wp:inline>
        </w:drawing>
      </w:r>
      <w:r w:rsidRPr="007C2A28">
        <w:rPr>
          <w:rFonts w:ascii="Arial" w:hAnsi="Arial" w:cs="Arial"/>
          <w:noProof/>
          <w:lang w:eastAsia="pt-BR"/>
        </w:rPr>
        <w:drawing>
          <wp:inline distT="0" distB="0" distL="0" distR="0" wp14:anchorId="13349277" wp14:editId="12C1012A">
            <wp:extent cx="3218180" cy="1520190"/>
            <wp:effectExtent l="0" t="0" r="1270" b="381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218180" cy="1520190"/>
                    </a:xfrm>
                    <a:prstGeom prst="rect">
                      <a:avLst/>
                    </a:prstGeom>
                    <a:noFill/>
                    <a:ln>
                      <a:noFill/>
                    </a:ln>
                  </pic:spPr>
                </pic:pic>
              </a:graphicData>
            </a:graphic>
          </wp:inline>
        </w:drawing>
      </w:r>
    </w:p>
    <w:p w14:paraId="61918EB8" w14:textId="59738E2C" w:rsidR="0010631F" w:rsidRPr="008C79A1" w:rsidRDefault="009E76E6" w:rsidP="0010631F">
      <w:pPr>
        <w:pStyle w:val="TextodoArtigo"/>
        <w:jc w:val="center"/>
        <w:rPr>
          <w:rFonts w:ascii="Arial" w:hAnsi="Arial" w:cs="Arial"/>
          <w:b/>
          <w:bCs/>
          <w:sz w:val="22"/>
          <w:szCs w:val="22"/>
        </w:rPr>
      </w:pPr>
      <w:r w:rsidRPr="008C79A1">
        <w:rPr>
          <w:rFonts w:ascii="Arial" w:hAnsi="Arial" w:cs="Arial"/>
          <w:b/>
          <w:bCs/>
          <w:sz w:val="22"/>
          <w:szCs w:val="22"/>
        </w:rPr>
        <w:t>Fonte: Marina, 2018</w:t>
      </w:r>
      <w:r w:rsidR="0010631F" w:rsidRPr="008C79A1">
        <w:rPr>
          <w:rFonts w:ascii="Arial" w:hAnsi="Arial" w:cs="Arial"/>
          <w:b/>
          <w:bCs/>
          <w:sz w:val="22"/>
          <w:szCs w:val="22"/>
        </w:rPr>
        <w:t>.</w:t>
      </w:r>
    </w:p>
    <w:p w14:paraId="7204B0F4" w14:textId="77777777" w:rsidR="008C79A1" w:rsidRDefault="008C79A1" w:rsidP="009E76E6">
      <w:pPr>
        <w:jc w:val="center"/>
        <w:rPr>
          <w:b/>
          <w:bCs/>
          <w:sz w:val="20"/>
        </w:rPr>
      </w:pPr>
    </w:p>
    <w:p w14:paraId="09FF4CD8" w14:textId="77777777" w:rsidR="008C79A1" w:rsidRDefault="008C79A1" w:rsidP="009E76E6">
      <w:pPr>
        <w:jc w:val="center"/>
        <w:rPr>
          <w:b/>
          <w:bCs/>
          <w:sz w:val="20"/>
        </w:rPr>
      </w:pPr>
    </w:p>
    <w:p w14:paraId="30AF470E" w14:textId="67A64DD4" w:rsidR="0010631F" w:rsidRPr="007C2A28" w:rsidRDefault="009E76E6" w:rsidP="009E76E6">
      <w:pPr>
        <w:jc w:val="center"/>
        <w:rPr>
          <w:rFonts w:eastAsia="Times New Roman"/>
          <w:color w:val="000000"/>
          <w:sz w:val="20"/>
          <w:szCs w:val="20"/>
          <w:lang w:eastAsia="zh-CN"/>
        </w:rPr>
      </w:pPr>
      <w:r w:rsidRPr="007C2A28">
        <w:rPr>
          <w:b/>
          <w:bCs/>
          <w:sz w:val="20"/>
        </w:rPr>
        <w:t xml:space="preserve">Figura 02. Diagrama de processo do sistema de </w:t>
      </w:r>
      <w:proofErr w:type="spellStart"/>
      <w:r w:rsidRPr="007C2A28">
        <w:rPr>
          <w:b/>
          <w:bCs/>
          <w:i/>
          <w:iCs/>
          <w:sz w:val="20"/>
        </w:rPr>
        <w:t>cleaning</w:t>
      </w:r>
      <w:proofErr w:type="spellEnd"/>
      <w:r w:rsidRPr="007C2A28">
        <w:rPr>
          <w:b/>
          <w:bCs/>
          <w:i/>
          <w:iCs/>
          <w:sz w:val="20"/>
        </w:rPr>
        <w:t xml:space="preserve"> in </w:t>
      </w:r>
      <w:proofErr w:type="spellStart"/>
      <w:r w:rsidRPr="007C2A28">
        <w:rPr>
          <w:b/>
          <w:bCs/>
          <w:i/>
          <w:iCs/>
          <w:sz w:val="20"/>
        </w:rPr>
        <w:t>place</w:t>
      </w:r>
      <w:proofErr w:type="spellEnd"/>
      <w:r w:rsidRPr="007C2A28">
        <w:rPr>
          <w:b/>
          <w:bCs/>
          <w:i/>
          <w:iCs/>
          <w:sz w:val="20"/>
        </w:rPr>
        <w:t xml:space="preserve">, </w:t>
      </w:r>
      <w:r w:rsidRPr="007C2A28">
        <w:rPr>
          <w:b/>
          <w:bCs/>
          <w:sz w:val="20"/>
        </w:rPr>
        <w:t>com destaque para os tanques.</w:t>
      </w:r>
    </w:p>
    <w:p w14:paraId="7EBD058F" w14:textId="019272D9" w:rsidR="0010631F" w:rsidRPr="007C2A28" w:rsidRDefault="0010631F" w:rsidP="008C79A1">
      <w:pPr>
        <w:pStyle w:val="TextodoArtigo"/>
        <w:ind w:firstLine="0"/>
        <w:jc w:val="center"/>
        <w:rPr>
          <w:rFonts w:ascii="Arial" w:hAnsi="Arial" w:cs="Arial"/>
        </w:rPr>
      </w:pPr>
      <w:r w:rsidRPr="007C2A28">
        <w:rPr>
          <w:rFonts w:ascii="Arial" w:hAnsi="Arial" w:cs="Arial"/>
          <w:noProof/>
          <w:lang w:eastAsia="pt-BR"/>
        </w:rPr>
        <w:drawing>
          <wp:inline distT="0" distB="0" distL="0" distR="0" wp14:anchorId="62E39F24" wp14:editId="3763EF26">
            <wp:extent cx="4607035" cy="2899955"/>
            <wp:effectExtent l="19050" t="19050" r="22225" b="1524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23789" cy="2910501"/>
                    </a:xfrm>
                    <a:prstGeom prst="rect">
                      <a:avLst/>
                    </a:prstGeom>
                    <a:noFill/>
                    <a:ln w="6350" cmpd="sng">
                      <a:solidFill>
                        <a:srgbClr val="000000"/>
                      </a:solidFill>
                      <a:miter lim="800000"/>
                      <a:headEnd/>
                      <a:tailEnd/>
                    </a:ln>
                    <a:effectLst/>
                  </pic:spPr>
                </pic:pic>
              </a:graphicData>
            </a:graphic>
          </wp:inline>
        </w:drawing>
      </w:r>
    </w:p>
    <w:p w14:paraId="5B1CC2B2" w14:textId="6F22AD12" w:rsidR="0010631F" w:rsidRPr="008C79A1" w:rsidRDefault="009E76E6" w:rsidP="009E76E6">
      <w:pPr>
        <w:pStyle w:val="TextodoArtigo"/>
        <w:ind w:firstLine="0"/>
        <w:jc w:val="center"/>
        <w:rPr>
          <w:rFonts w:ascii="Arial" w:hAnsi="Arial" w:cs="Arial"/>
          <w:b/>
          <w:bCs/>
          <w:sz w:val="22"/>
          <w:szCs w:val="22"/>
        </w:rPr>
      </w:pPr>
      <w:r w:rsidRPr="008C79A1">
        <w:rPr>
          <w:rFonts w:ascii="Arial" w:hAnsi="Arial" w:cs="Arial"/>
          <w:b/>
          <w:sz w:val="22"/>
          <w:szCs w:val="22"/>
        </w:rPr>
        <w:t xml:space="preserve">Fonte: </w:t>
      </w:r>
      <w:proofErr w:type="spellStart"/>
      <w:r w:rsidR="0010631F" w:rsidRPr="008C79A1">
        <w:rPr>
          <w:rFonts w:ascii="Arial" w:hAnsi="Arial" w:cs="Arial"/>
          <w:b/>
          <w:bCs/>
          <w:sz w:val="22"/>
          <w:szCs w:val="22"/>
        </w:rPr>
        <w:t>Reigado</w:t>
      </w:r>
      <w:proofErr w:type="spellEnd"/>
      <w:r w:rsidR="0010631F" w:rsidRPr="008C79A1">
        <w:rPr>
          <w:rFonts w:ascii="Arial" w:hAnsi="Arial" w:cs="Arial"/>
          <w:b/>
          <w:bCs/>
          <w:sz w:val="22"/>
          <w:szCs w:val="22"/>
        </w:rPr>
        <w:t>, 2012.</w:t>
      </w:r>
    </w:p>
    <w:p w14:paraId="679C9ACB" w14:textId="77777777" w:rsidR="0010631F" w:rsidRPr="007C2A28" w:rsidRDefault="0010631F" w:rsidP="0010631F">
      <w:pPr>
        <w:spacing w:line="276" w:lineRule="auto"/>
        <w:ind w:firstLine="720"/>
        <w:jc w:val="both"/>
        <w:rPr>
          <w:sz w:val="24"/>
          <w:szCs w:val="24"/>
        </w:rPr>
      </w:pPr>
    </w:p>
    <w:p w14:paraId="138837DA" w14:textId="1BF1082C" w:rsidR="0010631F" w:rsidRPr="007C2A28" w:rsidRDefault="0010631F" w:rsidP="008C79A1">
      <w:pPr>
        <w:spacing w:line="276" w:lineRule="auto"/>
        <w:ind w:firstLine="567"/>
        <w:jc w:val="both"/>
        <w:rPr>
          <w:sz w:val="24"/>
          <w:szCs w:val="24"/>
        </w:rPr>
      </w:pPr>
      <w:r w:rsidRPr="007C2A28">
        <w:rPr>
          <w:sz w:val="24"/>
          <w:szCs w:val="24"/>
        </w:rPr>
        <w:t xml:space="preserve">Além de três bombas (B-UT-1251001-2A/B/C) e um filtro fino (FT-UT-1251001-03), a unidade CIP é composta por dois tanques (TQ-UT-1251001-01A/B) sem redundância (2x100%), fabricados em fibra de vidro e localizado no </w:t>
      </w:r>
      <w:proofErr w:type="gramStart"/>
      <w:r w:rsidRPr="007C2A28">
        <w:rPr>
          <w:sz w:val="24"/>
          <w:szCs w:val="24"/>
        </w:rPr>
        <w:t>Módulo  11</w:t>
      </w:r>
      <w:proofErr w:type="gramEnd"/>
      <w:r w:rsidRPr="007C2A28">
        <w:rPr>
          <w:sz w:val="24"/>
          <w:szCs w:val="24"/>
        </w:rPr>
        <w:t xml:space="preserve"> (Figura 03). Eles são responsáveis por garantir a diluição dos produtos químicos de limpeza (alcalino e ácido) com a água destilada. Com volume útil de 22 m³ entre os níveis LSL e LSH, indicador físico de nível (LG-1251802A/C) e transmissor de nível baixo (LIT-1251802-A/C) para proteção das bombas a jusante, cada tanque possui três aquecedores elétricos (AQ-UT-1251001-01/02/03 A/B), dispostos na mesma cota vertical (450 mm) e defasados no plano de 120° (Figura 04).</w:t>
      </w:r>
    </w:p>
    <w:p w14:paraId="3EE009BE" w14:textId="77777777" w:rsidR="009E76E6" w:rsidRPr="007C2A28" w:rsidRDefault="009E76E6" w:rsidP="0010631F">
      <w:pPr>
        <w:spacing w:line="276" w:lineRule="auto"/>
        <w:ind w:firstLine="720"/>
        <w:jc w:val="both"/>
        <w:rPr>
          <w:sz w:val="24"/>
          <w:szCs w:val="24"/>
        </w:rPr>
      </w:pPr>
    </w:p>
    <w:p w14:paraId="5ADA2F31" w14:textId="33E29C36" w:rsidR="0010631F" w:rsidRPr="007C2A28" w:rsidRDefault="009E76E6" w:rsidP="0076140A">
      <w:pPr>
        <w:pStyle w:val="TextodoArtigo"/>
        <w:ind w:firstLine="0"/>
        <w:jc w:val="center"/>
        <w:rPr>
          <w:rFonts w:ascii="Arial" w:hAnsi="Arial" w:cs="Arial"/>
        </w:rPr>
      </w:pPr>
      <w:r w:rsidRPr="007C2A28">
        <w:rPr>
          <w:rFonts w:ascii="Arial" w:hAnsi="Arial" w:cs="Arial"/>
          <w:b/>
          <w:bCs/>
        </w:rPr>
        <w:t>Figura 03. Localização dos tanques de CIP no Módulo 11.</w:t>
      </w:r>
    </w:p>
    <w:p w14:paraId="7F5145D6" w14:textId="62021054" w:rsidR="0010631F" w:rsidRPr="007C2A28" w:rsidRDefault="0010631F" w:rsidP="008C79A1">
      <w:pPr>
        <w:pStyle w:val="TextodoArtigo"/>
        <w:ind w:firstLine="0"/>
        <w:jc w:val="center"/>
        <w:rPr>
          <w:rFonts w:ascii="Arial" w:hAnsi="Arial" w:cs="Arial"/>
        </w:rPr>
      </w:pPr>
      <w:r w:rsidRPr="007C2A28">
        <w:rPr>
          <w:rFonts w:ascii="Arial" w:hAnsi="Arial" w:cs="Arial"/>
          <w:noProof/>
          <w:lang w:eastAsia="pt-BR"/>
        </w:rPr>
        <w:drawing>
          <wp:inline distT="0" distB="0" distL="0" distR="0" wp14:anchorId="4F05E243" wp14:editId="7E75EFE1">
            <wp:extent cx="3670663" cy="3115372"/>
            <wp:effectExtent l="0" t="0" r="6350" b="889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88571" cy="3130571"/>
                    </a:xfrm>
                    <a:prstGeom prst="rect">
                      <a:avLst/>
                    </a:prstGeom>
                    <a:noFill/>
                    <a:ln>
                      <a:noFill/>
                    </a:ln>
                  </pic:spPr>
                </pic:pic>
              </a:graphicData>
            </a:graphic>
          </wp:inline>
        </w:drawing>
      </w:r>
    </w:p>
    <w:p w14:paraId="429485D6" w14:textId="205E5BB7" w:rsidR="009E76E6" w:rsidRPr="007C2A28" w:rsidRDefault="009E76E6" w:rsidP="009E76E6">
      <w:pPr>
        <w:pStyle w:val="TextodoArtigo"/>
        <w:jc w:val="center"/>
        <w:rPr>
          <w:rFonts w:ascii="Arial" w:hAnsi="Arial" w:cs="Arial"/>
          <w:b/>
          <w:bCs/>
          <w:sz w:val="24"/>
        </w:rPr>
      </w:pPr>
      <w:r w:rsidRPr="007C2A28">
        <w:rPr>
          <w:rFonts w:ascii="Arial" w:hAnsi="Arial" w:cs="Arial"/>
          <w:b/>
          <w:bCs/>
          <w:sz w:val="24"/>
        </w:rPr>
        <w:t xml:space="preserve">Fonte: </w:t>
      </w:r>
      <w:r w:rsidR="0010631F" w:rsidRPr="007C2A28">
        <w:rPr>
          <w:rFonts w:ascii="Arial" w:hAnsi="Arial" w:cs="Arial"/>
          <w:b/>
          <w:bCs/>
          <w:sz w:val="24"/>
        </w:rPr>
        <w:t>Marina, 2018.</w:t>
      </w:r>
    </w:p>
    <w:p w14:paraId="0D807750" w14:textId="77777777" w:rsidR="008C79A1" w:rsidRDefault="008C79A1" w:rsidP="009E76E6">
      <w:pPr>
        <w:pStyle w:val="TextodoArtigo"/>
        <w:jc w:val="center"/>
        <w:rPr>
          <w:rFonts w:ascii="Arial" w:hAnsi="Arial" w:cs="Arial"/>
          <w:b/>
          <w:bCs/>
        </w:rPr>
      </w:pPr>
    </w:p>
    <w:p w14:paraId="4854B61F" w14:textId="27949258" w:rsidR="0010631F" w:rsidRPr="007C2A28" w:rsidRDefault="009E76E6" w:rsidP="009E76E6">
      <w:pPr>
        <w:pStyle w:val="TextodoArtigo"/>
        <w:jc w:val="center"/>
        <w:rPr>
          <w:rFonts w:ascii="Arial" w:hAnsi="Arial" w:cs="Arial"/>
          <w:b/>
          <w:bCs/>
        </w:rPr>
      </w:pPr>
      <w:r w:rsidRPr="007C2A28">
        <w:rPr>
          <w:rFonts w:ascii="Arial" w:hAnsi="Arial" w:cs="Arial"/>
          <w:b/>
          <w:bCs/>
        </w:rPr>
        <w:t>Figura 04. Desenho dos tanques TQ-UT-1251001-01 A/B de CIP.</w:t>
      </w:r>
    </w:p>
    <w:p w14:paraId="74DBAA5C" w14:textId="1AABE8D6" w:rsidR="0010631F" w:rsidRPr="007C2A28" w:rsidRDefault="0010631F" w:rsidP="0010631F">
      <w:pPr>
        <w:pStyle w:val="TextodoArtigo"/>
        <w:jc w:val="center"/>
        <w:rPr>
          <w:rFonts w:ascii="Arial" w:hAnsi="Arial" w:cs="Arial"/>
          <w:noProof/>
          <w:lang w:eastAsia="ja-JP"/>
        </w:rPr>
      </w:pPr>
      <w:r w:rsidRPr="007C2A28">
        <w:rPr>
          <w:rFonts w:ascii="Arial" w:hAnsi="Arial" w:cs="Arial"/>
          <w:noProof/>
          <w:lang w:eastAsia="pt-BR"/>
        </w:rPr>
        <w:drawing>
          <wp:inline distT="0" distB="0" distL="0" distR="0" wp14:anchorId="2FC605D3" wp14:editId="7B66327D">
            <wp:extent cx="4512310" cy="2315845"/>
            <wp:effectExtent l="0" t="0" r="2540" b="825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12310" cy="2315845"/>
                    </a:xfrm>
                    <a:prstGeom prst="rect">
                      <a:avLst/>
                    </a:prstGeom>
                    <a:noFill/>
                    <a:ln>
                      <a:noFill/>
                    </a:ln>
                  </pic:spPr>
                </pic:pic>
              </a:graphicData>
            </a:graphic>
          </wp:inline>
        </w:drawing>
      </w:r>
    </w:p>
    <w:p w14:paraId="30544F03" w14:textId="0FFA61C1" w:rsidR="0010631F" w:rsidRPr="007C2A28" w:rsidRDefault="009E76E6" w:rsidP="0010631F">
      <w:pPr>
        <w:pStyle w:val="TextodoArtigo"/>
        <w:jc w:val="center"/>
        <w:rPr>
          <w:rFonts w:ascii="Arial" w:hAnsi="Arial" w:cs="Arial"/>
          <w:b/>
          <w:bCs/>
          <w:sz w:val="24"/>
        </w:rPr>
      </w:pPr>
      <w:r w:rsidRPr="007C2A28">
        <w:rPr>
          <w:rFonts w:ascii="Arial" w:hAnsi="Arial" w:cs="Arial"/>
          <w:b/>
          <w:bCs/>
          <w:sz w:val="24"/>
        </w:rPr>
        <w:t xml:space="preserve">Fonte: </w:t>
      </w:r>
      <w:proofErr w:type="spellStart"/>
      <w:r w:rsidR="0010631F" w:rsidRPr="007C2A28">
        <w:rPr>
          <w:rFonts w:ascii="Arial" w:hAnsi="Arial" w:cs="Arial"/>
          <w:b/>
          <w:bCs/>
          <w:sz w:val="24"/>
        </w:rPr>
        <w:t>Reigado</w:t>
      </w:r>
      <w:proofErr w:type="spellEnd"/>
      <w:r w:rsidR="0010631F" w:rsidRPr="007C2A28">
        <w:rPr>
          <w:rFonts w:ascii="Arial" w:hAnsi="Arial" w:cs="Arial"/>
          <w:b/>
          <w:bCs/>
          <w:sz w:val="24"/>
        </w:rPr>
        <w:t>, 2013a.</w:t>
      </w:r>
    </w:p>
    <w:p w14:paraId="08D33C3B" w14:textId="77777777" w:rsidR="0010631F" w:rsidRPr="007C2A28" w:rsidRDefault="0010631F" w:rsidP="0010631F">
      <w:pPr>
        <w:spacing w:line="276" w:lineRule="auto"/>
        <w:ind w:firstLine="720"/>
        <w:jc w:val="center"/>
        <w:rPr>
          <w:sz w:val="24"/>
          <w:szCs w:val="24"/>
        </w:rPr>
      </w:pPr>
    </w:p>
    <w:p w14:paraId="6BF09F58" w14:textId="77777777" w:rsidR="009E76E6" w:rsidRDefault="0010631F" w:rsidP="008C79A1">
      <w:pPr>
        <w:spacing w:line="276" w:lineRule="auto"/>
        <w:ind w:firstLine="567"/>
        <w:jc w:val="both"/>
        <w:rPr>
          <w:sz w:val="24"/>
          <w:szCs w:val="24"/>
        </w:rPr>
      </w:pPr>
      <w:r w:rsidRPr="007C2A28">
        <w:rPr>
          <w:sz w:val="24"/>
          <w:szCs w:val="24"/>
        </w:rPr>
        <w:t>Cada aquecedor elétrico é formado por 60 tubos com costura e diâmetro 13,72 mm schedule 40 (2,24 mm – pequena espessura) formato U em aço AISI 304 (</w:t>
      </w:r>
      <w:proofErr w:type="spellStart"/>
      <w:r w:rsidRPr="007C2A28">
        <w:rPr>
          <w:sz w:val="24"/>
          <w:szCs w:val="24"/>
        </w:rPr>
        <w:t>Reigado</w:t>
      </w:r>
      <w:proofErr w:type="spellEnd"/>
      <w:r w:rsidRPr="007C2A28">
        <w:rPr>
          <w:sz w:val="24"/>
          <w:szCs w:val="24"/>
        </w:rPr>
        <w:t>, 2013b). Internamente aos tubos corre o elemento resistor propriamente dito com 1433 mm de comprimento, 11 mm de diâmetro, com presença de granulado higroscópico de óxido de magnésio no anular entre ambos para a garantia do isolamento elétrico (Figura 05) (</w:t>
      </w:r>
      <w:proofErr w:type="spellStart"/>
      <w:r w:rsidRPr="007C2A28">
        <w:rPr>
          <w:sz w:val="24"/>
          <w:szCs w:val="24"/>
        </w:rPr>
        <w:t>Reigado</w:t>
      </w:r>
      <w:proofErr w:type="spellEnd"/>
      <w:r w:rsidRPr="007C2A28">
        <w:rPr>
          <w:sz w:val="24"/>
          <w:szCs w:val="24"/>
        </w:rPr>
        <w:t>, 2013c). Cada aquecedor conta ainda com um tubo central com termopar PT-100 em seu interior, que permite o monitoramento da temperatura através dos painéis PN-AQ-UT-1251001 A/B (um para cada tanque), para proteção do sistema contra superaquecimento.</w:t>
      </w:r>
    </w:p>
    <w:p w14:paraId="0D51BBBC" w14:textId="77777777" w:rsidR="00283CED" w:rsidRPr="007C2A28" w:rsidRDefault="00283CED" w:rsidP="009E76E6">
      <w:pPr>
        <w:spacing w:line="276" w:lineRule="auto"/>
        <w:ind w:firstLine="720"/>
        <w:jc w:val="both"/>
        <w:rPr>
          <w:sz w:val="24"/>
          <w:szCs w:val="24"/>
        </w:rPr>
      </w:pPr>
    </w:p>
    <w:p w14:paraId="2B9F02EF" w14:textId="54E14460" w:rsidR="009E76E6" w:rsidRPr="007C2A28" w:rsidRDefault="009E76E6" w:rsidP="009E76E6">
      <w:pPr>
        <w:spacing w:line="276" w:lineRule="auto"/>
        <w:jc w:val="center"/>
        <w:rPr>
          <w:szCs w:val="24"/>
        </w:rPr>
      </w:pPr>
      <w:r w:rsidRPr="007C2A28">
        <w:rPr>
          <w:b/>
          <w:bCs/>
          <w:sz w:val="20"/>
        </w:rPr>
        <w:t>Figura 05. Desenho dos aquecedores AQ-UT-1251001-01/02/03 A/B dos tanques de CIP, com detalhe para o elemento resistor interno.</w:t>
      </w:r>
    </w:p>
    <w:p w14:paraId="4087B672" w14:textId="2DE94C2D" w:rsidR="006825E0" w:rsidRPr="007C2A28" w:rsidRDefault="006825E0" w:rsidP="006825E0">
      <w:pPr>
        <w:tabs>
          <w:tab w:val="left" w:pos="5760"/>
        </w:tabs>
        <w:spacing w:line="360" w:lineRule="auto"/>
        <w:jc w:val="center"/>
      </w:pPr>
      <w:r w:rsidRPr="007C2A28">
        <w:rPr>
          <w:noProof/>
        </w:rPr>
        <w:drawing>
          <wp:inline distT="0" distB="0" distL="0" distR="0" wp14:anchorId="20B82E14" wp14:editId="60F1A5E8">
            <wp:extent cx="4144489" cy="1819708"/>
            <wp:effectExtent l="0" t="0" r="889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45023" cy="1819943"/>
                    </a:xfrm>
                    <a:prstGeom prst="rect">
                      <a:avLst/>
                    </a:prstGeom>
                    <a:noFill/>
                    <a:ln>
                      <a:noFill/>
                    </a:ln>
                  </pic:spPr>
                </pic:pic>
              </a:graphicData>
            </a:graphic>
          </wp:inline>
        </w:drawing>
      </w:r>
    </w:p>
    <w:p w14:paraId="0CF4A16F" w14:textId="3DE58597" w:rsidR="006825E0" w:rsidRPr="007C2A28" w:rsidRDefault="006825E0" w:rsidP="006825E0">
      <w:pPr>
        <w:pStyle w:val="TextodoArtigo"/>
        <w:jc w:val="center"/>
        <w:rPr>
          <w:rFonts w:ascii="Arial" w:hAnsi="Arial" w:cs="Arial"/>
        </w:rPr>
      </w:pPr>
      <w:r w:rsidRPr="007C2A28">
        <w:rPr>
          <w:rFonts w:ascii="Arial" w:hAnsi="Arial" w:cs="Arial"/>
          <w:noProof/>
          <w:lang w:eastAsia="pt-BR"/>
        </w:rPr>
        <w:drawing>
          <wp:inline distT="0" distB="0" distL="0" distR="0" wp14:anchorId="54CC6691" wp14:editId="4167345E">
            <wp:extent cx="4298868" cy="1303354"/>
            <wp:effectExtent l="0" t="0" r="698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99058" cy="1303412"/>
                    </a:xfrm>
                    <a:prstGeom prst="rect">
                      <a:avLst/>
                    </a:prstGeom>
                    <a:noFill/>
                    <a:ln>
                      <a:noFill/>
                    </a:ln>
                  </pic:spPr>
                </pic:pic>
              </a:graphicData>
            </a:graphic>
          </wp:inline>
        </w:drawing>
      </w:r>
    </w:p>
    <w:p w14:paraId="3712E09E" w14:textId="0370EA1F" w:rsidR="006825E0" w:rsidRPr="007C2A28" w:rsidRDefault="009E76E6" w:rsidP="006825E0">
      <w:pPr>
        <w:pStyle w:val="TextodoArtigo"/>
        <w:jc w:val="center"/>
        <w:rPr>
          <w:rFonts w:ascii="Arial" w:hAnsi="Arial" w:cs="Arial"/>
          <w:b/>
          <w:bCs/>
          <w:sz w:val="24"/>
        </w:rPr>
      </w:pPr>
      <w:r w:rsidRPr="007C2A28">
        <w:rPr>
          <w:rFonts w:ascii="Arial" w:hAnsi="Arial" w:cs="Arial"/>
          <w:b/>
          <w:bCs/>
          <w:sz w:val="24"/>
        </w:rPr>
        <w:t xml:space="preserve">Fonte: </w:t>
      </w:r>
      <w:proofErr w:type="spellStart"/>
      <w:r w:rsidRPr="007C2A28">
        <w:rPr>
          <w:rFonts w:ascii="Arial" w:hAnsi="Arial" w:cs="Arial"/>
          <w:b/>
          <w:bCs/>
          <w:sz w:val="24"/>
        </w:rPr>
        <w:t>Reigado</w:t>
      </w:r>
      <w:proofErr w:type="spellEnd"/>
      <w:r w:rsidRPr="007C2A28">
        <w:rPr>
          <w:rFonts w:ascii="Arial" w:hAnsi="Arial" w:cs="Arial"/>
          <w:b/>
          <w:bCs/>
          <w:sz w:val="24"/>
        </w:rPr>
        <w:t xml:space="preserve">, 2013b e </w:t>
      </w:r>
      <w:proofErr w:type="spellStart"/>
      <w:r w:rsidRPr="007C2A28">
        <w:rPr>
          <w:rFonts w:ascii="Arial" w:hAnsi="Arial" w:cs="Arial"/>
          <w:b/>
          <w:bCs/>
          <w:sz w:val="24"/>
        </w:rPr>
        <w:t>Reigado</w:t>
      </w:r>
      <w:proofErr w:type="spellEnd"/>
      <w:r w:rsidRPr="007C2A28">
        <w:rPr>
          <w:rFonts w:ascii="Arial" w:hAnsi="Arial" w:cs="Arial"/>
          <w:b/>
          <w:bCs/>
          <w:sz w:val="24"/>
        </w:rPr>
        <w:t>, 2013c</w:t>
      </w:r>
      <w:r w:rsidR="006825E0" w:rsidRPr="007C2A28">
        <w:rPr>
          <w:rFonts w:ascii="Arial" w:hAnsi="Arial" w:cs="Arial"/>
          <w:b/>
          <w:bCs/>
          <w:sz w:val="24"/>
        </w:rPr>
        <w:t>.</w:t>
      </w:r>
    </w:p>
    <w:p w14:paraId="4E86B41A" w14:textId="77777777" w:rsidR="006825E0" w:rsidRPr="007C2A28" w:rsidRDefault="006825E0" w:rsidP="00E07B27">
      <w:pPr>
        <w:spacing w:line="360" w:lineRule="auto"/>
        <w:jc w:val="both"/>
        <w:rPr>
          <w:sz w:val="24"/>
          <w:szCs w:val="24"/>
        </w:rPr>
      </w:pPr>
    </w:p>
    <w:p w14:paraId="7CD318FE" w14:textId="77777777" w:rsidR="006825E0" w:rsidRPr="007C2A28" w:rsidRDefault="006825E0" w:rsidP="008C79A1">
      <w:pPr>
        <w:spacing w:line="276" w:lineRule="auto"/>
        <w:ind w:firstLine="567"/>
        <w:jc w:val="both"/>
        <w:rPr>
          <w:sz w:val="24"/>
          <w:szCs w:val="24"/>
        </w:rPr>
      </w:pPr>
      <w:r w:rsidRPr="007C2A28">
        <w:rPr>
          <w:sz w:val="24"/>
          <w:szCs w:val="24"/>
        </w:rPr>
        <w:t xml:space="preserve">O procedimento operacional da CIP ocorre individualmente para cada banco ou estágio, sempre tendo as membranas fora de operação e pode ser sumarizado em cinco etapas sequenciais e complementares: </w:t>
      </w:r>
      <w:proofErr w:type="spellStart"/>
      <w:r w:rsidRPr="007C2A28">
        <w:rPr>
          <w:sz w:val="24"/>
          <w:szCs w:val="24"/>
        </w:rPr>
        <w:t>pré</w:t>
      </w:r>
      <w:proofErr w:type="spellEnd"/>
      <w:r w:rsidRPr="007C2A28">
        <w:rPr>
          <w:sz w:val="24"/>
          <w:szCs w:val="24"/>
        </w:rPr>
        <w:t xml:space="preserve">-flush, limpeza alcalina, pós-flush da limpeza alcalina, limpeza ácida e pós-flushing da limpeza ácida (Quadro 01). A etapa de </w:t>
      </w:r>
      <w:proofErr w:type="spellStart"/>
      <w:r w:rsidRPr="007C2A28">
        <w:rPr>
          <w:sz w:val="24"/>
          <w:szCs w:val="24"/>
        </w:rPr>
        <w:t>pré</w:t>
      </w:r>
      <w:proofErr w:type="spellEnd"/>
      <w:r w:rsidRPr="007C2A28">
        <w:rPr>
          <w:sz w:val="24"/>
          <w:szCs w:val="24"/>
        </w:rPr>
        <w:t xml:space="preserve">-flush consiste no enchimento dos tanques e circulação do sistema com água doce (especificada para o teor de cloro livre em zero ppm e de ferro solúvel máximo em 2 ppm) com destilação para </w:t>
      </w:r>
      <w:proofErr w:type="spellStart"/>
      <w:r w:rsidRPr="007C2A28">
        <w:rPr>
          <w:sz w:val="24"/>
          <w:szCs w:val="24"/>
        </w:rPr>
        <w:t>overboard</w:t>
      </w:r>
      <w:proofErr w:type="spellEnd"/>
      <w:r w:rsidRPr="007C2A28">
        <w:rPr>
          <w:sz w:val="24"/>
          <w:szCs w:val="24"/>
        </w:rPr>
        <w:t xml:space="preserve">. Em seguida, o sistema é aquecido para temperatura de 40°C, tendo início da limpeza básica com produto </w:t>
      </w:r>
      <w:proofErr w:type="spellStart"/>
      <w:r w:rsidRPr="007C2A28">
        <w:rPr>
          <w:sz w:val="24"/>
          <w:szCs w:val="24"/>
        </w:rPr>
        <w:t>Kleen</w:t>
      </w:r>
      <w:proofErr w:type="spellEnd"/>
      <w:r w:rsidRPr="007C2A28">
        <w:rPr>
          <w:sz w:val="24"/>
          <w:szCs w:val="24"/>
        </w:rPr>
        <w:t xml:space="preserve"> MCT 511 / DORF OG 1007B (GE et al., 2015) na concentração de 1,5 a 2 % v/v para a remoção de contaminação biológica e incrustação por sais de sulfato. A etapa de pós-flush da limpeza alcalina ocorre a partir da drenagem do inventário básico restante do tanque.</w:t>
      </w:r>
    </w:p>
    <w:p w14:paraId="4972B8BE" w14:textId="77777777" w:rsidR="006825E0" w:rsidRPr="007C2A28" w:rsidRDefault="006825E0" w:rsidP="006825E0">
      <w:pPr>
        <w:spacing w:line="276" w:lineRule="auto"/>
        <w:jc w:val="both"/>
        <w:rPr>
          <w:sz w:val="24"/>
          <w:szCs w:val="24"/>
        </w:rPr>
      </w:pPr>
    </w:p>
    <w:p w14:paraId="6A1C2653" w14:textId="51261D3A" w:rsidR="006825E0" w:rsidRPr="007C2A28" w:rsidRDefault="006825E0" w:rsidP="008C79A1">
      <w:pPr>
        <w:spacing w:line="276" w:lineRule="auto"/>
        <w:ind w:firstLine="567"/>
        <w:jc w:val="both"/>
        <w:rPr>
          <w:sz w:val="24"/>
          <w:szCs w:val="24"/>
        </w:rPr>
      </w:pPr>
      <w:r w:rsidRPr="007C2A28">
        <w:rPr>
          <w:sz w:val="24"/>
          <w:szCs w:val="24"/>
        </w:rPr>
        <w:t xml:space="preserve">A limpeza ácida é realizada com produto </w:t>
      </w:r>
      <w:proofErr w:type="spellStart"/>
      <w:r w:rsidRPr="007C2A28">
        <w:rPr>
          <w:sz w:val="24"/>
          <w:szCs w:val="24"/>
        </w:rPr>
        <w:t>Kleen</w:t>
      </w:r>
      <w:proofErr w:type="spellEnd"/>
      <w:r w:rsidRPr="007C2A28">
        <w:rPr>
          <w:sz w:val="24"/>
          <w:szCs w:val="24"/>
        </w:rPr>
        <w:t xml:space="preserve"> MCT 882 / DORF OG 1005B (ácida cítrico – (GE WATER et. Al, 2015)) na concentração de 0,5 a 1% v/v para Neutralização e remoção de incrustações inorgânicas de metais pesados, silicatos e carbonatos. Após drenagem do inventário ácido restante, ocorre a última etapa de flush, na qual pequenas quantidades de solução de </w:t>
      </w:r>
      <w:proofErr w:type="spellStart"/>
      <w:r w:rsidRPr="007C2A28">
        <w:rPr>
          <w:sz w:val="24"/>
          <w:szCs w:val="24"/>
        </w:rPr>
        <w:t>NaOH</w:t>
      </w:r>
      <w:proofErr w:type="spellEnd"/>
      <w:r w:rsidRPr="007C2A28">
        <w:rPr>
          <w:sz w:val="24"/>
          <w:szCs w:val="24"/>
        </w:rPr>
        <w:t xml:space="preserve"> podem eventualmente ser adicionadas caso haja dificuldade para enquadramento do pH. O tanque é hibernado completamente drenado.</w:t>
      </w:r>
    </w:p>
    <w:p w14:paraId="2A990F5F" w14:textId="77777777" w:rsidR="009E76E6" w:rsidRPr="007C2A28" w:rsidRDefault="009E76E6" w:rsidP="009E76E6">
      <w:pPr>
        <w:spacing w:line="276" w:lineRule="auto"/>
        <w:rPr>
          <w:sz w:val="24"/>
          <w:szCs w:val="24"/>
        </w:rPr>
      </w:pPr>
    </w:p>
    <w:p w14:paraId="6F5E0AB2" w14:textId="601BEE7D" w:rsidR="00647E3C" w:rsidRPr="007C2A28" w:rsidRDefault="009E76E6" w:rsidP="009E76E6">
      <w:pPr>
        <w:spacing w:line="276" w:lineRule="auto"/>
        <w:jc w:val="center"/>
        <w:rPr>
          <w:szCs w:val="24"/>
        </w:rPr>
      </w:pPr>
      <w:r w:rsidRPr="007C2A28">
        <w:rPr>
          <w:b/>
          <w:bCs/>
          <w:sz w:val="20"/>
        </w:rPr>
        <w:t>Quadro 01. Descritivo das etapas de limpeza química da URS da plataforma.</w:t>
      </w:r>
    </w:p>
    <w:p w14:paraId="779E8BE6" w14:textId="075F5574" w:rsidR="00647E3C" w:rsidRPr="007C2A28" w:rsidRDefault="00647E3C" w:rsidP="008C79A1">
      <w:pPr>
        <w:pStyle w:val="TextodoArtigo"/>
        <w:ind w:firstLine="0"/>
        <w:jc w:val="center"/>
        <w:rPr>
          <w:rFonts w:ascii="Arial" w:hAnsi="Arial" w:cs="Arial"/>
          <w:noProof/>
          <w:lang w:eastAsia="ja-JP"/>
        </w:rPr>
      </w:pPr>
      <w:r w:rsidRPr="007C2A28">
        <w:rPr>
          <w:rFonts w:ascii="Arial" w:hAnsi="Arial" w:cs="Arial"/>
          <w:noProof/>
          <w:lang w:eastAsia="pt-BR"/>
        </w:rPr>
        <w:drawing>
          <wp:inline distT="0" distB="0" distL="0" distR="0" wp14:anchorId="0B989526" wp14:editId="017F15E5">
            <wp:extent cx="5760000" cy="2985049"/>
            <wp:effectExtent l="0" t="0" r="0" b="635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0000" cy="2985049"/>
                    </a:xfrm>
                    <a:prstGeom prst="rect">
                      <a:avLst/>
                    </a:prstGeom>
                    <a:noFill/>
                    <a:ln>
                      <a:noFill/>
                    </a:ln>
                  </pic:spPr>
                </pic:pic>
              </a:graphicData>
            </a:graphic>
          </wp:inline>
        </w:drawing>
      </w:r>
    </w:p>
    <w:p w14:paraId="30C82948" w14:textId="7A17C6A1" w:rsidR="00647E3C" w:rsidRPr="007C2A28" w:rsidRDefault="009E76E6" w:rsidP="00647E3C">
      <w:pPr>
        <w:pStyle w:val="TextodoArtigo"/>
        <w:jc w:val="center"/>
        <w:rPr>
          <w:rFonts w:ascii="Arial" w:hAnsi="Arial" w:cs="Arial"/>
        </w:rPr>
      </w:pPr>
      <w:r w:rsidRPr="007C2A28">
        <w:rPr>
          <w:rFonts w:ascii="Arial" w:hAnsi="Arial" w:cs="Arial"/>
          <w:b/>
          <w:bCs/>
          <w:sz w:val="24"/>
        </w:rPr>
        <w:t xml:space="preserve">Fonte: </w:t>
      </w:r>
      <w:r w:rsidR="00647E3C" w:rsidRPr="007C2A28">
        <w:rPr>
          <w:rFonts w:ascii="Arial" w:hAnsi="Arial" w:cs="Arial"/>
          <w:b/>
          <w:bCs/>
          <w:sz w:val="24"/>
        </w:rPr>
        <w:t>SINDOTEC, 2019.</w:t>
      </w:r>
    </w:p>
    <w:p w14:paraId="42BA7673" w14:textId="77777777" w:rsidR="006825E0" w:rsidRPr="007C2A28" w:rsidRDefault="006825E0" w:rsidP="006825E0">
      <w:pPr>
        <w:spacing w:line="360" w:lineRule="auto"/>
        <w:jc w:val="both"/>
        <w:rPr>
          <w:sz w:val="24"/>
          <w:szCs w:val="24"/>
        </w:rPr>
      </w:pPr>
    </w:p>
    <w:p w14:paraId="1844FFDB" w14:textId="77777777" w:rsidR="00E07B27" w:rsidRPr="007C2A28" w:rsidRDefault="00E07B27" w:rsidP="00E07B27">
      <w:pPr>
        <w:spacing w:line="360" w:lineRule="auto"/>
        <w:jc w:val="both"/>
        <w:rPr>
          <w:b/>
          <w:sz w:val="24"/>
          <w:szCs w:val="24"/>
        </w:rPr>
      </w:pPr>
      <w:r w:rsidRPr="007C2A28">
        <w:rPr>
          <w:b/>
          <w:sz w:val="24"/>
          <w:szCs w:val="24"/>
        </w:rPr>
        <w:t>2 OBJETIVOS</w:t>
      </w:r>
    </w:p>
    <w:p w14:paraId="262E9D2F" w14:textId="77777777" w:rsidR="00143F92" w:rsidRPr="007C2A28" w:rsidRDefault="00143F92" w:rsidP="008C79A1">
      <w:pPr>
        <w:spacing w:line="276" w:lineRule="auto"/>
        <w:ind w:firstLine="567"/>
        <w:jc w:val="both"/>
        <w:rPr>
          <w:color w:val="000000"/>
          <w:sz w:val="24"/>
          <w:szCs w:val="24"/>
        </w:rPr>
      </w:pPr>
      <w:r w:rsidRPr="007C2A28">
        <w:rPr>
          <w:color w:val="000000"/>
          <w:sz w:val="24"/>
          <w:szCs w:val="24"/>
        </w:rPr>
        <w:t xml:space="preserve">O desenvolvimento tecnológico das unidades industriais de processamento de petróleo esteve sempre ligado ao crescente interesse econômico pelos seus derivados. Para se obter gasolina, diesel, querosene, óleos lubrificantes, nafta, GLP, e todos demais subprodutos sintéticos, as plantas de processamento foram adequando seus produtos de produção, na medida em que qualidade e quantidade eram exigidas. </w:t>
      </w:r>
    </w:p>
    <w:p w14:paraId="6550EE23" w14:textId="77777777" w:rsidR="00143F92" w:rsidRPr="007C2A28" w:rsidRDefault="00143F92" w:rsidP="00143F92">
      <w:pPr>
        <w:spacing w:line="276" w:lineRule="auto"/>
        <w:ind w:firstLine="720"/>
        <w:jc w:val="both"/>
        <w:rPr>
          <w:color w:val="000000"/>
          <w:sz w:val="24"/>
          <w:szCs w:val="24"/>
        </w:rPr>
      </w:pPr>
    </w:p>
    <w:p w14:paraId="6CCC9B4A" w14:textId="77777777" w:rsidR="00143F92" w:rsidRPr="007C2A28" w:rsidRDefault="00143F92" w:rsidP="008C79A1">
      <w:pPr>
        <w:spacing w:line="276" w:lineRule="auto"/>
        <w:ind w:firstLine="567"/>
        <w:jc w:val="both"/>
        <w:rPr>
          <w:color w:val="000000"/>
          <w:sz w:val="24"/>
          <w:szCs w:val="24"/>
        </w:rPr>
      </w:pPr>
      <w:r w:rsidRPr="007C2A28">
        <w:rPr>
          <w:color w:val="000000"/>
          <w:sz w:val="24"/>
          <w:szCs w:val="24"/>
        </w:rPr>
        <w:t>As crescentes exigências de mercado e, mais recentemente, as ambientais, passaram a definir especificações de produto mais restritas, não somente nas refinarias, como nas unidades de produção, situadas nas proximidades dos poços de petróleo. Pela necessidade de melhorar a qualidade do petróleo enviando às refinarias, essas unidades tiveram que desenvolver métodos e processos cada vez mais eficientes de separação e tratamento de fluidos produzidos.</w:t>
      </w:r>
    </w:p>
    <w:p w14:paraId="006E5947" w14:textId="77777777" w:rsidR="00143F92" w:rsidRPr="007C2A28" w:rsidRDefault="00143F92" w:rsidP="00143F92">
      <w:pPr>
        <w:spacing w:line="276" w:lineRule="auto"/>
        <w:ind w:firstLine="720"/>
        <w:jc w:val="both"/>
        <w:rPr>
          <w:color w:val="000000"/>
          <w:sz w:val="24"/>
          <w:szCs w:val="24"/>
        </w:rPr>
      </w:pPr>
    </w:p>
    <w:p w14:paraId="2463A1C8" w14:textId="3416A18B" w:rsidR="00143F92" w:rsidRPr="007C2A28" w:rsidRDefault="00143F92" w:rsidP="008C79A1">
      <w:pPr>
        <w:spacing w:line="276" w:lineRule="auto"/>
        <w:ind w:firstLine="567"/>
        <w:jc w:val="both"/>
        <w:rPr>
          <w:color w:val="000000"/>
          <w:sz w:val="24"/>
          <w:szCs w:val="24"/>
        </w:rPr>
      </w:pPr>
      <w:r w:rsidRPr="007C2A28">
        <w:rPr>
          <w:color w:val="000000"/>
          <w:sz w:val="24"/>
          <w:szCs w:val="24"/>
        </w:rPr>
        <w:lastRenderedPageBreak/>
        <w:t>A falha de materiais de engenharia é quase sempre um evento indesejável por várias razões, as quais incluem vidas humanas que são colocadas em risco, perdas econômicas e a interferência com a disponibilidade de produtos e serviços. Embora as causas das falhas e o comportamento dos materiais possam ser conhecidos, a prevenção de falhas é difícil de ser garantida. As causas comuns são a seleção e o processamento inadequados de materiais, além do projeto inadequado ou da má utilização de um componente (</w:t>
      </w:r>
      <w:r w:rsidR="008C79A1" w:rsidRPr="007C2A28">
        <w:rPr>
          <w:color w:val="000000"/>
          <w:sz w:val="24"/>
          <w:szCs w:val="24"/>
        </w:rPr>
        <w:t xml:space="preserve">CALLISTER </w:t>
      </w:r>
      <w:r w:rsidRPr="007C2A28">
        <w:rPr>
          <w:color w:val="000000"/>
          <w:sz w:val="24"/>
          <w:szCs w:val="24"/>
        </w:rPr>
        <w:t xml:space="preserve">Jr. e </w:t>
      </w:r>
      <w:r w:rsidR="008C79A1" w:rsidRPr="007C2A28">
        <w:rPr>
          <w:color w:val="000000"/>
          <w:sz w:val="24"/>
          <w:szCs w:val="24"/>
        </w:rPr>
        <w:t>RETHWISCH</w:t>
      </w:r>
      <w:r w:rsidRPr="007C2A28">
        <w:rPr>
          <w:color w:val="000000"/>
          <w:sz w:val="24"/>
          <w:szCs w:val="24"/>
        </w:rPr>
        <w:t>, 2015).</w:t>
      </w:r>
    </w:p>
    <w:p w14:paraId="1D4236D9" w14:textId="77777777" w:rsidR="00143F92" w:rsidRPr="007C2A28" w:rsidRDefault="00143F92" w:rsidP="008C79A1">
      <w:pPr>
        <w:spacing w:line="276" w:lineRule="auto"/>
        <w:ind w:firstLine="567"/>
        <w:jc w:val="both"/>
        <w:rPr>
          <w:color w:val="000000"/>
          <w:sz w:val="24"/>
          <w:szCs w:val="24"/>
        </w:rPr>
      </w:pPr>
    </w:p>
    <w:p w14:paraId="103EE2DD" w14:textId="4A61833E" w:rsidR="00143F92" w:rsidRPr="007C2A28" w:rsidRDefault="00143F92" w:rsidP="008C79A1">
      <w:pPr>
        <w:spacing w:line="276" w:lineRule="auto"/>
        <w:ind w:firstLine="567"/>
        <w:jc w:val="both"/>
        <w:rPr>
          <w:color w:val="000000"/>
          <w:sz w:val="24"/>
          <w:szCs w:val="24"/>
        </w:rPr>
      </w:pPr>
      <w:r w:rsidRPr="007C2A28">
        <w:rPr>
          <w:color w:val="000000"/>
          <w:sz w:val="24"/>
          <w:szCs w:val="24"/>
        </w:rPr>
        <w:t>Os fenômenos relacionados com a corrosão são muito complexos, envolvendo sempre numerosos fatores, alguns dos quais são de difícil caracterização. Por esse motivo, as simples informações de catálogos e tabelas de fabricantes de materiais relativos ao comportamento desses materiais em meios corrosivos, mesmo quando fidedignas, devem ser consideradas com a devida cautela, sendo muitas vezes extremamente simplificadas, não levando em contas várias circunstâncias que podem modificar completamente o comportamento dos materiais quanto à corrosão (</w:t>
      </w:r>
      <w:r w:rsidR="008C79A1" w:rsidRPr="007C2A28">
        <w:rPr>
          <w:color w:val="000000"/>
          <w:sz w:val="24"/>
          <w:szCs w:val="24"/>
        </w:rPr>
        <w:t>TELLES</w:t>
      </w:r>
      <w:r w:rsidRPr="007C2A28">
        <w:rPr>
          <w:color w:val="000000"/>
          <w:sz w:val="24"/>
          <w:szCs w:val="24"/>
        </w:rPr>
        <w:t xml:space="preserve">, 2003). </w:t>
      </w:r>
    </w:p>
    <w:p w14:paraId="5791E0B5" w14:textId="77777777" w:rsidR="00143F92" w:rsidRPr="007C2A28" w:rsidRDefault="00143F92" w:rsidP="008C79A1">
      <w:pPr>
        <w:spacing w:line="276" w:lineRule="auto"/>
        <w:ind w:firstLine="567"/>
        <w:jc w:val="both"/>
        <w:rPr>
          <w:color w:val="000000"/>
          <w:sz w:val="24"/>
          <w:szCs w:val="24"/>
        </w:rPr>
      </w:pPr>
      <w:r w:rsidRPr="007C2A28">
        <w:rPr>
          <w:color w:val="000000"/>
          <w:sz w:val="24"/>
          <w:szCs w:val="24"/>
        </w:rPr>
        <w:t xml:space="preserve"> </w:t>
      </w:r>
    </w:p>
    <w:p w14:paraId="12666C97" w14:textId="5B748806" w:rsidR="00143F92" w:rsidRPr="007C2A28" w:rsidRDefault="00143F92" w:rsidP="008C79A1">
      <w:pPr>
        <w:spacing w:line="276" w:lineRule="auto"/>
        <w:ind w:firstLine="567"/>
        <w:jc w:val="both"/>
        <w:rPr>
          <w:color w:val="000000"/>
          <w:sz w:val="24"/>
          <w:szCs w:val="24"/>
        </w:rPr>
      </w:pPr>
      <w:r w:rsidRPr="007C2A28">
        <w:rPr>
          <w:color w:val="000000"/>
          <w:sz w:val="24"/>
          <w:szCs w:val="24"/>
        </w:rPr>
        <w:t>A Análise de Falhas visa determinar como e porque um dado equipamento ou componente veio a falhar. As falhas são comumente causadas por um ou mais fatores, como sobrecarga, defeitos pré-existentes, ataque pelo meio ou desgaste natural. O carregamento excessivo, em geral, está associado a um projeto inadequado do equipamento (</w:t>
      </w:r>
      <w:proofErr w:type="spellStart"/>
      <w:r w:rsidRPr="007C2A28">
        <w:rPr>
          <w:color w:val="000000"/>
          <w:sz w:val="24"/>
          <w:szCs w:val="24"/>
        </w:rPr>
        <w:t>subdimensionamento</w:t>
      </w:r>
      <w:proofErr w:type="spellEnd"/>
      <w:r w:rsidRPr="007C2A28">
        <w:rPr>
          <w:color w:val="000000"/>
          <w:sz w:val="24"/>
          <w:szCs w:val="24"/>
        </w:rPr>
        <w:t>) ou a um regime de operação fora das condições para o qual foi projetado. Processos de fabricação ou montagem dos equipamentos, por vezes, induzem a formação de defeitos na estrutura dos materiais, que podem passar despercebidos pelas diferentes etapas de controle da qualidade, vindo a causar falha do componente em uso (</w:t>
      </w:r>
      <w:r w:rsidR="008C79A1" w:rsidRPr="007C2A28">
        <w:rPr>
          <w:color w:val="000000"/>
          <w:sz w:val="24"/>
          <w:szCs w:val="24"/>
        </w:rPr>
        <w:t xml:space="preserve">PELLICCIONE </w:t>
      </w:r>
      <w:r w:rsidRPr="007C2A28">
        <w:rPr>
          <w:color w:val="000000"/>
          <w:sz w:val="24"/>
          <w:szCs w:val="24"/>
        </w:rPr>
        <w:t>et al. 2012).</w:t>
      </w:r>
    </w:p>
    <w:p w14:paraId="7E609D24" w14:textId="77777777" w:rsidR="00143F92" w:rsidRPr="007C2A28" w:rsidRDefault="00143F92" w:rsidP="008C79A1">
      <w:pPr>
        <w:spacing w:line="276" w:lineRule="auto"/>
        <w:ind w:firstLine="567"/>
        <w:jc w:val="both"/>
        <w:rPr>
          <w:color w:val="000000"/>
          <w:sz w:val="24"/>
          <w:szCs w:val="24"/>
        </w:rPr>
      </w:pPr>
    </w:p>
    <w:p w14:paraId="41B31CBC" w14:textId="572A6EFD" w:rsidR="00143F92" w:rsidRPr="007C2A28" w:rsidRDefault="00143F92" w:rsidP="008C79A1">
      <w:pPr>
        <w:spacing w:line="276" w:lineRule="auto"/>
        <w:ind w:firstLine="567"/>
        <w:jc w:val="both"/>
        <w:rPr>
          <w:color w:val="000000"/>
          <w:sz w:val="24"/>
          <w:szCs w:val="24"/>
        </w:rPr>
      </w:pPr>
      <w:r w:rsidRPr="007C2A28">
        <w:rPr>
          <w:color w:val="000000"/>
          <w:sz w:val="24"/>
          <w:szCs w:val="24"/>
        </w:rPr>
        <w:t>A interação dos equipamentos com o meio de operação (p. ex. atmosfera, fluido de processo, etc.), pode causar desgastes imprevistos ou prematuros, ou até mesmo, afetar as propriedades de seus materiais construtivos (resistência mecânica, tenacidade, etc.), tornando-os mais susceptíveis a falhas. Mesmo equipamentos projetados, fabricados, montados e operados de maneira adequada podem vir a falhar por esgotamento de sua vida útil prevista originalmente, daí a importância de seu acompanhamento periódico pelas equipes de inspeção e manutenção (</w:t>
      </w:r>
      <w:r w:rsidR="008C79A1" w:rsidRPr="007C2A28">
        <w:rPr>
          <w:color w:val="000000"/>
          <w:sz w:val="24"/>
          <w:szCs w:val="24"/>
        </w:rPr>
        <w:t xml:space="preserve">PELLICCIONE </w:t>
      </w:r>
      <w:r w:rsidRPr="007C2A28">
        <w:rPr>
          <w:color w:val="000000"/>
          <w:sz w:val="24"/>
          <w:szCs w:val="24"/>
        </w:rPr>
        <w:t>et al. 2012).</w:t>
      </w:r>
    </w:p>
    <w:p w14:paraId="5BA85BFD" w14:textId="77777777" w:rsidR="00143F92" w:rsidRPr="007C2A28" w:rsidRDefault="00143F92" w:rsidP="00143F92">
      <w:pPr>
        <w:spacing w:line="276" w:lineRule="auto"/>
        <w:ind w:firstLine="720"/>
        <w:jc w:val="both"/>
        <w:rPr>
          <w:color w:val="000000"/>
          <w:sz w:val="24"/>
          <w:szCs w:val="24"/>
          <w:highlight w:val="white"/>
        </w:rPr>
      </w:pPr>
    </w:p>
    <w:p w14:paraId="0F3D3FF0" w14:textId="33F399D7" w:rsidR="00143F92" w:rsidRPr="007C2A28" w:rsidRDefault="00E07B27" w:rsidP="00143F92">
      <w:pPr>
        <w:spacing w:line="360" w:lineRule="auto"/>
        <w:jc w:val="both"/>
        <w:rPr>
          <w:b/>
          <w:color w:val="000000"/>
          <w:sz w:val="24"/>
          <w:szCs w:val="24"/>
        </w:rPr>
      </w:pPr>
      <w:r w:rsidRPr="007C2A28">
        <w:rPr>
          <w:b/>
          <w:color w:val="000000"/>
          <w:sz w:val="24"/>
          <w:szCs w:val="24"/>
          <w:highlight w:val="white"/>
        </w:rPr>
        <w:t xml:space="preserve">3 </w:t>
      </w:r>
      <w:r w:rsidR="00143F92" w:rsidRPr="007C2A28">
        <w:rPr>
          <w:b/>
          <w:color w:val="000000"/>
          <w:sz w:val="24"/>
          <w:szCs w:val="24"/>
          <w:highlight w:val="white"/>
        </w:rPr>
        <w:t>REFERENCIAL TEÓRICO</w:t>
      </w:r>
    </w:p>
    <w:p w14:paraId="5B46520C" w14:textId="77777777" w:rsidR="00143F92" w:rsidRPr="007C2A28" w:rsidRDefault="00143F92" w:rsidP="008C79A1">
      <w:pPr>
        <w:spacing w:line="276" w:lineRule="auto"/>
        <w:ind w:firstLine="567"/>
        <w:jc w:val="both"/>
        <w:rPr>
          <w:color w:val="000000"/>
          <w:sz w:val="24"/>
          <w:szCs w:val="24"/>
        </w:rPr>
      </w:pPr>
      <w:r w:rsidRPr="007C2A28">
        <w:rPr>
          <w:color w:val="000000"/>
          <w:sz w:val="24"/>
          <w:szCs w:val="24"/>
        </w:rPr>
        <w:t xml:space="preserve">Denominam-se, genericamente, de “aços inoxidáveis”, os aços que não enferrujam, mesmo pela exposição prolongada a uma atmosfera normal. Essa propriedade é atingida através da adição de, pelo menos, 12% de Cr. O cromo é o elemento de liga básico dos aços inoxidáveis, cuja passivação é conseguida pela formação de uma película de óxidos e hidróxidos de cromo na superfície do metal </w:t>
      </w:r>
      <w:r w:rsidRPr="007C2A28">
        <w:rPr>
          <w:color w:val="000000"/>
          <w:sz w:val="24"/>
          <w:szCs w:val="24"/>
        </w:rPr>
        <w:lastRenderedPageBreak/>
        <w:t>(Telles, 2003).</w:t>
      </w:r>
    </w:p>
    <w:p w14:paraId="33C67D63" w14:textId="77777777" w:rsidR="00143F92" w:rsidRPr="007C2A28" w:rsidRDefault="00143F92" w:rsidP="00143F92">
      <w:pPr>
        <w:spacing w:line="276" w:lineRule="auto"/>
        <w:ind w:firstLine="720"/>
        <w:jc w:val="both"/>
        <w:rPr>
          <w:color w:val="000000"/>
          <w:sz w:val="24"/>
          <w:szCs w:val="24"/>
        </w:rPr>
      </w:pPr>
    </w:p>
    <w:p w14:paraId="60C50F70" w14:textId="77777777" w:rsidR="00143F92" w:rsidRPr="007C2A28" w:rsidRDefault="00143F92" w:rsidP="008C79A1">
      <w:pPr>
        <w:spacing w:line="276" w:lineRule="auto"/>
        <w:ind w:firstLine="567"/>
        <w:jc w:val="both"/>
        <w:rPr>
          <w:color w:val="000000"/>
          <w:sz w:val="24"/>
          <w:szCs w:val="24"/>
        </w:rPr>
      </w:pPr>
      <w:r w:rsidRPr="007C2A28">
        <w:rPr>
          <w:color w:val="000000"/>
          <w:sz w:val="24"/>
          <w:szCs w:val="24"/>
        </w:rPr>
        <w:t>Existe uma grande variedade de tipos de aços inoxidáveis. A ASTM por si só define mais de oitenta tipos diferentes. Os tipos convencionais mais antigos costumam ser classificados em três grupos, de acordo com a estrutura metalúrgica predominante na liga, em temperatura ambiente: aços inoxidáveis austeníticos (Fe-Cr-</w:t>
      </w:r>
      <w:proofErr w:type="spellStart"/>
      <w:r w:rsidRPr="007C2A28">
        <w:rPr>
          <w:color w:val="000000"/>
          <w:sz w:val="24"/>
          <w:szCs w:val="24"/>
        </w:rPr>
        <w:t>Ni</w:t>
      </w:r>
      <w:proofErr w:type="spellEnd"/>
      <w:r w:rsidRPr="007C2A28">
        <w:rPr>
          <w:color w:val="000000"/>
          <w:sz w:val="24"/>
          <w:szCs w:val="24"/>
        </w:rPr>
        <w:t xml:space="preserve">, não temperáveis), aços inoxidáveis ferríticos (ligas Fe-Cr, não temperáveis) e aços inoxidáveis </w:t>
      </w:r>
      <w:proofErr w:type="spellStart"/>
      <w:r w:rsidRPr="007C2A28">
        <w:rPr>
          <w:color w:val="000000"/>
          <w:sz w:val="24"/>
          <w:szCs w:val="24"/>
        </w:rPr>
        <w:t>martensíticos</w:t>
      </w:r>
      <w:proofErr w:type="spellEnd"/>
      <w:r w:rsidRPr="007C2A28">
        <w:rPr>
          <w:color w:val="000000"/>
          <w:sz w:val="24"/>
          <w:szCs w:val="24"/>
        </w:rPr>
        <w:t xml:space="preserve"> (ligas Fe-Cr, temperáveis) (Telles, 2003). Os aços inoxidáveis </w:t>
      </w:r>
      <w:proofErr w:type="spellStart"/>
      <w:r w:rsidRPr="007C2A28">
        <w:rPr>
          <w:color w:val="000000"/>
          <w:sz w:val="24"/>
          <w:szCs w:val="24"/>
        </w:rPr>
        <w:t>martensíticos</w:t>
      </w:r>
      <w:proofErr w:type="spellEnd"/>
      <w:r w:rsidRPr="007C2A28">
        <w:rPr>
          <w:color w:val="000000"/>
          <w:sz w:val="24"/>
          <w:szCs w:val="24"/>
        </w:rPr>
        <w:t xml:space="preserve"> são capazes de ser tratados termicamente, de tal maneira que a martensita é o principal microconstituinte.  As adições de elementos de liga em concentrações significativas produzem mudanças drásticas no diagrama de fases ferro-carbeto de ferro. Para os aços inoxidáveis austeníticos, o campo de fase da austenita (ou ϫ) é estendido até uma temperatura ambiente. Os aços inoxidáveis ferríticos são compostos pela fase </w:t>
      </w:r>
      <w:proofErr w:type="spellStart"/>
      <w:r w:rsidRPr="007C2A28">
        <w:rPr>
          <w:color w:val="000000"/>
          <w:sz w:val="24"/>
          <w:szCs w:val="24"/>
        </w:rPr>
        <w:t>ferrita</w:t>
      </w:r>
      <w:proofErr w:type="spellEnd"/>
      <w:r w:rsidRPr="007C2A28">
        <w:rPr>
          <w:color w:val="000000"/>
          <w:sz w:val="24"/>
          <w:szCs w:val="24"/>
        </w:rPr>
        <w:t xml:space="preserve"> α (CCC) (</w:t>
      </w:r>
      <w:proofErr w:type="spellStart"/>
      <w:r w:rsidRPr="007C2A28">
        <w:rPr>
          <w:color w:val="000000"/>
          <w:sz w:val="24"/>
          <w:szCs w:val="24"/>
        </w:rPr>
        <w:t>Callister</w:t>
      </w:r>
      <w:proofErr w:type="spellEnd"/>
      <w:r w:rsidRPr="007C2A28">
        <w:rPr>
          <w:color w:val="000000"/>
          <w:sz w:val="24"/>
          <w:szCs w:val="24"/>
        </w:rPr>
        <w:t xml:space="preserve"> </w:t>
      </w:r>
      <w:proofErr w:type="spellStart"/>
      <w:r w:rsidRPr="007C2A28">
        <w:rPr>
          <w:color w:val="000000"/>
          <w:sz w:val="24"/>
          <w:szCs w:val="24"/>
        </w:rPr>
        <w:t>Jr.e</w:t>
      </w:r>
      <w:proofErr w:type="spellEnd"/>
      <w:r w:rsidRPr="007C2A28">
        <w:rPr>
          <w:color w:val="000000"/>
          <w:sz w:val="24"/>
          <w:szCs w:val="24"/>
        </w:rPr>
        <w:t xml:space="preserve"> </w:t>
      </w:r>
      <w:proofErr w:type="spellStart"/>
      <w:r w:rsidRPr="007C2A28">
        <w:rPr>
          <w:color w:val="000000"/>
          <w:sz w:val="24"/>
          <w:szCs w:val="24"/>
        </w:rPr>
        <w:t>Rethwisch</w:t>
      </w:r>
      <w:proofErr w:type="spellEnd"/>
      <w:r w:rsidRPr="007C2A28">
        <w:rPr>
          <w:color w:val="000000"/>
          <w:sz w:val="24"/>
          <w:szCs w:val="24"/>
        </w:rPr>
        <w:t>, 2015).</w:t>
      </w:r>
    </w:p>
    <w:p w14:paraId="02EE18AD" w14:textId="77777777" w:rsidR="00143F92" w:rsidRPr="007C2A28" w:rsidRDefault="00143F92" w:rsidP="008C79A1">
      <w:pPr>
        <w:spacing w:line="276" w:lineRule="auto"/>
        <w:ind w:firstLine="567"/>
        <w:jc w:val="both"/>
        <w:rPr>
          <w:color w:val="000000"/>
          <w:sz w:val="24"/>
          <w:szCs w:val="24"/>
        </w:rPr>
      </w:pPr>
    </w:p>
    <w:p w14:paraId="1844FFDD" w14:textId="3C008364" w:rsidR="009E76E6" w:rsidRDefault="00143F92" w:rsidP="008C79A1">
      <w:pPr>
        <w:spacing w:line="276" w:lineRule="auto"/>
        <w:ind w:firstLine="567"/>
        <w:jc w:val="both"/>
        <w:rPr>
          <w:color w:val="000000"/>
          <w:sz w:val="24"/>
          <w:szCs w:val="24"/>
        </w:rPr>
      </w:pPr>
      <w:r w:rsidRPr="007C2A28">
        <w:rPr>
          <w:color w:val="000000"/>
          <w:sz w:val="24"/>
          <w:szCs w:val="24"/>
        </w:rPr>
        <w:t>Os aços inoxidáveis austeníticos e ferríticos são endurecidos e tem sua resistência aumentada por trabalho a frio, uma vez que não são tratáveis termicamente (</w:t>
      </w:r>
      <w:proofErr w:type="spellStart"/>
      <w:r w:rsidRPr="007C2A28">
        <w:rPr>
          <w:color w:val="000000"/>
          <w:sz w:val="24"/>
          <w:szCs w:val="24"/>
        </w:rPr>
        <w:t>Callister</w:t>
      </w:r>
      <w:proofErr w:type="spellEnd"/>
      <w:r w:rsidRPr="007C2A28">
        <w:rPr>
          <w:color w:val="000000"/>
          <w:sz w:val="24"/>
          <w:szCs w:val="24"/>
        </w:rPr>
        <w:t xml:space="preserve"> Jr. e </w:t>
      </w:r>
      <w:proofErr w:type="spellStart"/>
      <w:r w:rsidRPr="007C2A28">
        <w:rPr>
          <w:color w:val="000000"/>
          <w:sz w:val="24"/>
          <w:szCs w:val="24"/>
        </w:rPr>
        <w:t>Rethwisch</w:t>
      </w:r>
      <w:proofErr w:type="spellEnd"/>
      <w:r w:rsidRPr="007C2A28">
        <w:rPr>
          <w:color w:val="000000"/>
          <w:sz w:val="24"/>
          <w:szCs w:val="24"/>
        </w:rPr>
        <w:t xml:space="preserve">, 2015). A microestrutura tem efeito dominante sobre o desempenho dos aços inoxidáveis e depende diretamente, da composição química e do tratamento térmico realizado. Em vista da complexidade dos sistemas envolvidos (em geral, os efeitos dos elementos cromo, carbono e níquel precisam ser considerados no mínimo) buscam-se representações simplificadas das relações de fases em função da composição química. A Figura 06 apresenta o diagrama de </w:t>
      </w:r>
      <w:proofErr w:type="spellStart"/>
      <w:r w:rsidRPr="007C2A28">
        <w:rPr>
          <w:color w:val="000000"/>
          <w:sz w:val="24"/>
          <w:szCs w:val="24"/>
        </w:rPr>
        <w:t>Schaffler</w:t>
      </w:r>
      <w:proofErr w:type="spellEnd"/>
      <w:r w:rsidRPr="007C2A28">
        <w:rPr>
          <w:color w:val="000000"/>
          <w:sz w:val="24"/>
          <w:szCs w:val="24"/>
        </w:rPr>
        <w:t xml:space="preserve"> com as faixas de composição aproximadas de cada família de aços inoxidáveis indicadas (</w:t>
      </w:r>
      <w:r w:rsidR="008C79A1" w:rsidRPr="007C2A28">
        <w:rPr>
          <w:color w:val="000000"/>
          <w:sz w:val="24"/>
          <w:szCs w:val="24"/>
        </w:rPr>
        <w:t>SILVA E MEI</w:t>
      </w:r>
      <w:r w:rsidRPr="007C2A28">
        <w:rPr>
          <w:color w:val="000000"/>
          <w:sz w:val="24"/>
          <w:szCs w:val="24"/>
        </w:rPr>
        <w:t>, 2010).</w:t>
      </w:r>
    </w:p>
    <w:p w14:paraId="581FFBC7" w14:textId="77777777" w:rsidR="008C79A1" w:rsidRDefault="008C79A1" w:rsidP="008C79A1">
      <w:pPr>
        <w:spacing w:line="276" w:lineRule="auto"/>
        <w:ind w:firstLine="567"/>
        <w:jc w:val="both"/>
        <w:rPr>
          <w:color w:val="000000"/>
          <w:sz w:val="24"/>
          <w:szCs w:val="24"/>
        </w:rPr>
      </w:pPr>
    </w:p>
    <w:p w14:paraId="6082C4A9" w14:textId="77777777" w:rsidR="008C79A1" w:rsidRPr="007C2A28" w:rsidRDefault="008C79A1" w:rsidP="008C79A1">
      <w:pPr>
        <w:spacing w:line="276" w:lineRule="auto"/>
        <w:ind w:firstLine="720"/>
        <w:jc w:val="both"/>
        <w:rPr>
          <w:color w:val="000000"/>
          <w:sz w:val="24"/>
          <w:szCs w:val="24"/>
        </w:rPr>
      </w:pPr>
    </w:p>
    <w:p w14:paraId="13BF7A6A" w14:textId="77777777" w:rsidR="008C79A1" w:rsidRPr="007C2A28" w:rsidRDefault="008C79A1" w:rsidP="008C79A1">
      <w:pPr>
        <w:spacing w:line="360" w:lineRule="auto"/>
        <w:jc w:val="both"/>
        <w:rPr>
          <w:b/>
          <w:color w:val="000000"/>
          <w:sz w:val="24"/>
          <w:szCs w:val="24"/>
          <w:highlight w:val="white"/>
        </w:rPr>
      </w:pPr>
      <w:r w:rsidRPr="007C2A28">
        <w:rPr>
          <w:b/>
          <w:color w:val="000000"/>
          <w:sz w:val="24"/>
          <w:szCs w:val="24"/>
          <w:highlight w:val="white"/>
        </w:rPr>
        <w:t>3.1 CORROSÃO</w:t>
      </w:r>
    </w:p>
    <w:p w14:paraId="33C7E104" w14:textId="3CB77B2C" w:rsidR="008C79A1" w:rsidRPr="007C2A28" w:rsidRDefault="008C79A1" w:rsidP="008C79A1">
      <w:pPr>
        <w:spacing w:line="276" w:lineRule="auto"/>
        <w:ind w:firstLine="567"/>
        <w:jc w:val="both"/>
        <w:rPr>
          <w:color w:val="000000"/>
          <w:sz w:val="24"/>
          <w:szCs w:val="24"/>
        </w:rPr>
      </w:pPr>
      <w:r w:rsidRPr="007C2A28">
        <w:rPr>
          <w:color w:val="000000"/>
          <w:sz w:val="24"/>
          <w:szCs w:val="24"/>
        </w:rPr>
        <w:t>Corrosão pode ser definida como a deterioração de um material, geralmente metálico, por ação química ou eletroquímica do meio ambiente associada ou não a esforços mecânicos. A deterioração causada pela interação físico-química entre o material e o seu meio operacional representa alterações prejudiciais indesejáveis, sofridas pelo material, tais como desgaste, variações químicas ou modificações estruturais, tornando-o inadequado para o uso (</w:t>
      </w:r>
      <w:r w:rsidRPr="007C2A28">
        <w:rPr>
          <w:color w:val="000000"/>
          <w:sz w:val="24"/>
          <w:szCs w:val="24"/>
        </w:rPr>
        <w:t>GENTIL</w:t>
      </w:r>
      <w:r w:rsidRPr="007C2A28">
        <w:rPr>
          <w:color w:val="000000"/>
          <w:sz w:val="24"/>
          <w:szCs w:val="24"/>
        </w:rPr>
        <w:t>, 2012).</w:t>
      </w:r>
    </w:p>
    <w:p w14:paraId="16102C40" w14:textId="77777777" w:rsidR="008C79A1" w:rsidRPr="007C2A28" w:rsidRDefault="008C79A1" w:rsidP="008C79A1">
      <w:pPr>
        <w:spacing w:line="360" w:lineRule="auto"/>
        <w:ind w:firstLine="720"/>
        <w:jc w:val="both"/>
        <w:rPr>
          <w:b/>
          <w:color w:val="000000"/>
          <w:sz w:val="24"/>
          <w:szCs w:val="24"/>
          <w:highlight w:val="white"/>
        </w:rPr>
      </w:pPr>
    </w:p>
    <w:p w14:paraId="057E45E8" w14:textId="77777777" w:rsidR="008C79A1" w:rsidRPr="007C2A28" w:rsidRDefault="008C79A1" w:rsidP="008C79A1">
      <w:pPr>
        <w:spacing w:line="360" w:lineRule="auto"/>
        <w:jc w:val="both"/>
        <w:rPr>
          <w:b/>
          <w:color w:val="000000"/>
          <w:sz w:val="24"/>
          <w:szCs w:val="24"/>
          <w:highlight w:val="white"/>
        </w:rPr>
      </w:pPr>
      <w:r w:rsidRPr="007C2A28">
        <w:rPr>
          <w:b/>
          <w:color w:val="000000"/>
          <w:sz w:val="24"/>
          <w:szCs w:val="24"/>
          <w:highlight w:val="white"/>
        </w:rPr>
        <w:t>3.1.1 Corrosão por Pite</w:t>
      </w:r>
    </w:p>
    <w:p w14:paraId="584C80AA" w14:textId="77777777" w:rsidR="008C79A1" w:rsidRPr="007C2A28" w:rsidRDefault="008C79A1" w:rsidP="008C79A1">
      <w:pPr>
        <w:spacing w:line="276" w:lineRule="auto"/>
        <w:ind w:firstLine="567"/>
        <w:jc w:val="both"/>
        <w:rPr>
          <w:color w:val="000000"/>
          <w:sz w:val="24"/>
          <w:szCs w:val="24"/>
        </w:rPr>
      </w:pPr>
      <w:r w:rsidRPr="007C2A28">
        <w:rPr>
          <w:color w:val="000000"/>
          <w:sz w:val="24"/>
          <w:szCs w:val="24"/>
        </w:rPr>
        <w:t xml:space="preserve">Corrosão por pite se processa em pontos ou em pequenas áreas localizadas na superfície metálica produzindo pites, que são cavidades que apresentam o fundo em forma angulosa e profundidade geralmente maior que seu diâmetro (GENTIL, 2012). Como a maior parte do metal fica intacta, sua atuação torna-se imperceptível.  Geralmente ocorre em metais que produzem camadas passivas, como alumínio, </w:t>
      </w:r>
      <w:r w:rsidRPr="007C2A28">
        <w:rPr>
          <w:color w:val="000000"/>
          <w:sz w:val="24"/>
          <w:szCs w:val="24"/>
        </w:rPr>
        <w:lastRenderedPageBreak/>
        <w:t>titânio e ligas de ferro de baixo carbono, no caso aços inoxidáveis.  Apresenta um histórico desastroso, em que cerca de 30% das falhas são atribuídas às corrosões por pite e por corrosão sob tensão (CST) (Shibata, 2007). Neste caso pequenas áreas são atacadas ocasionando a formação de cavidades, defeitos, irregularidades, sulcos, relevos e poros na superfície metálica resultando em falha (</w:t>
      </w:r>
      <w:proofErr w:type="spellStart"/>
      <w:r w:rsidRPr="007C2A28">
        <w:rPr>
          <w:color w:val="000000"/>
          <w:sz w:val="24"/>
          <w:szCs w:val="24"/>
        </w:rPr>
        <w:t>Codaro</w:t>
      </w:r>
      <w:proofErr w:type="spellEnd"/>
      <w:r w:rsidRPr="007C2A28">
        <w:rPr>
          <w:color w:val="000000"/>
          <w:sz w:val="24"/>
          <w:szCs w:val="24"/>
        </w:rPr>
        <w:t xml:space="preserve">, et al, 2002; </w:t>
      </w:r>
      <w:proofErr w:type="spellStart"/>
      <w:r w:rsidRPr="007C2A28">
        <w:rPr>
          <w:color w:val="000000"/>
          <w:sz w:val="24"/>
          <w:szCs w:val="24"/>
        </w:rPr>
        <w:t>Codaro</w:t>
      </w:r>
      <w:proofErr w:type="spellEnd"/>
      <w:r w:rsidRPr="007C2A28">
        <w:rPr>
          <w:color w:val="000000"/>
          <w:sz w:val="24"/>
          <w:szCs w:val="24"/>
        </w:rPr>
        <w:t>, et al, 2003).</w:t>
      </w:r>
    </w:p>
    <w:p w14:paraId="5E0AD463" w14:textId="77777777" w:rsidR="008C79A1" w:rsidRPr="007C2A28" w:rsidRDefault="008C79A1" w:rsidP="008C79A1">
      <w:pPr>
        <w:spacing w:line="276" w:lineRule="auto"/>
        <w:ind w:firstLine="567"/>
        <w:jc w:val="both"/>
        <w:rPr>
          <w:color w:val="000000"/>
          <w:sz w:val="24"/>
          <w:szCs w:val="24"/>
        </w:rPr>
      </w:pPr>
    </w:p>
    <w:p w14:paraId="38D35588" w14:textId="7F6F3E25" w:rsidR="009E76E6" w:rsidRPr="007C2A28" w:rsidRDefault="009E76E6">
      <w:pPr>
        <w:rPr>
          <w:color w:val="000000"/>
          <w:sz w:val="24"/>
          <w:szCs w:val="24"/>
        </w:rPr>
      </w:pPr>
    </w:p>
    <w:p w14:paraId="6C22EF7F" w14:textId="359A156C" w:rsidR="00E07B27" w:rsidRDefault="009E76E6" w:rsidP="009E76E6">
      <w:pPr>
        <w:spacing w:line="276" w:lineRule="auto"/>
        <w:jc w:val="center"/>
        <w:rPr>
          <w:b/>
          <w:bCs/>
          <w:sz w:val="20"/>
        </w:rPr>
      </w:pPr>
      <w:r w:rsidRPr="007C2A28">
        <w:rPr>
          <w:b/>
          <w:bCs/>
          <w:sz w:val="20"/>
        </w:rPr>
        <w:t xml:space="preserve">Figura 06. Diagrama de </w:t>
      </w:r>
      <w:proofErr w:type="spellStart"/>
      <w:r w:rsidRPr="007C2A28">
        <w:rPr>
          <w:b/>
          <w:bCs/>
          <w:sz w:val="20"/>
        </w:rPr>
        <w:t>Schaffler</w:t>
      </w:r>
      <w:proofErr w:type="spellEnd"/>
      <w:r w:rsidRPr="007C2A28">
        <w:rPr>
          <w:b/>
          <w:bCs/>
          <w:sz w:val="20"/>
        </w:rPr>
        <w:t xml:space="preserve">. Regiões de composição química das diferentes famílias indicadas (Constituintes: A = austenita, F = </w:t>
      </w:r>
      <w:proofErr w:type="spellStart"/>
      <w:r w:rsidRPr="007C2A28">
        <w:rPr>
          <w:b/>
          <w:bCs/>
          <w:sz w:val="20"/>
        </w:rPr>
        <w:t>ferrita</w:t>
      </w:r>
      <w:proofErr w:type="spellEnd"/>
      <w:r w:rsidRPr="007C2A28">
        <w:rPr>
          <w:b/>
          <w:bCs/>
          <w:sz w:val="20"/>
        </w:rPr>
        <w:t>, M = martensita)</w:t>
      </w:r>
      <w:r w:rsidR="00653B75">
        <w:rPr>
          <w:b/>
          <w:bCs/>
          <w:sz w:val="20"/>
        </w:rPr>
        <w:t>.</w:t>
      </w:r>
    </w:p>
    <w:p w14:paraId="77EC7B00" w14:textId="77777777" w:rsidR="008C79A1" w:rsidRPr="007C2A28" w:rsidRDefault="008C79A1" w:rsidP="009E76E6">
      <w:pPr>
        <w:spacing w:line="276" w:lineRule="auto"/>
        <w:jc w:val="center"/>
        <w:rPr>
          <w:color w:val="000000"/>
          <w:szCs w:val="24"/>
        </w:rPr>
      </w:pPr>
    </w:p>
    <w:p w14:paraId="20898543" w14:textId="712E5656" w:rsidR="00143F92" w:rsidRPr="007C2A28" w:rsidRDefault="008C79A1" w:rsidP="00143F92">
      <w:pPr>
        <w:pStyle w:val="TextodoArtigo"/>
        <w:jc w:val="center"/>
        <w:rPr>
          <w:rFonts w:ascii="Arial" w:hAnsi="Arial" w:cs="Arial"/>
        </w:rPr>
      </w:pPr>
      <w:r>
        <w:rPr>
          <w:rFonts w:ascii="Arial" w:hAnsi="Arial" w:cs="Arial"/>
          <w:noProof/>
          <w:lang w:eastAsia="pt-BR"/>
        </w:rPr>
        <w:drawing>
          <wp:inline distT="0" distB="0" distL="0" distR="0" wp14:anchorId="10C22895" wp14:editId="4F6F0D3C">
            <wp:extent cx="3869503" cy="3944983"/>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 6 grupo 3.jpg"/>
                    <pic:cNvPicPr/>
                  </pic:nvPicPr>
                  <pic:blipFill>
                    <a:blip r:embed="rId15">
                      <a:extLst>
                        <a:ext uri="{28A0092B-C50C-407E-A947-70E740481C1C}">
                          <a14:useLocalDpi xmlns:a14="http://schemas.microsoft.com/office/drawing/2010/main" val="0"/>
                        </a:ext>
                      </a:extLst>
                    </a:blip>
                    <a:stretch>
                      <a:fillRect/>
                    </a:stretch>
                  </pic:blipFill>
                  <pic:spPr>
                    <a:xfrm>
                      <a:off x="0" y="0"/>
                      <a:ext cx="3871628" cy="3947150"/>
                    </a:xfrm>
                    <a:prstGeom prst="rect">
                      <a:avLst/>
                    </a:prstGeom>
                  </pic:spPr>
                </pic:pic>
              </a:graphicData>
            </a:graphic>
          </wp:inline>
        </w:drawing>
      </w:r>
    </w:p>
    <w:p w14:paraId="237B9902" w14:textId="24950D63" w:rsidR="00143F92" w:rsidRPr="007C2A28" w:rsidRDefault="009E76E6" w:rsidP="00143F92">
      <w:pPr>
        <w:pStyle w:val="TextodoArtigo"/>
        <w:jc w:val="center"/>
        <w:rPr>
          <w:rFonts w:ascii="Arial" w:hAnsi="Arial" w:cs="Arial"/>
          <w:sz w:val="24"/>
        </w:rPr>
      </w:pPr>
      <w:r w:rsidRPr="007C2A28">
        <w:rPr>
          <w:rFonts w:ascii="Arial" w:hAnsi="Arial" w:cs="Arial"/>
          <w:b/>
          <w:bCs/>
          <w:sz w:val="24"/>
        </w:rPr>
        <w:t xml:space="preserve">Fonte: </w:t>
      </w:r>
      <w:r w:rsidR="008C79A1" w:rsidRPr="007C2A28">
        <w:rPr>
          <w:rFonts w:ascii="Arial" w:hAnsi="Arial" w:cs="Arial"/>
          <w:b/>
          <w:bCs/>
          <w:sz w:val="24"/>
        </w:rPr>
        <w:t xml:space="preserve">Silva </w:t>
      </w:r>
      <w:r w:rsidRPr="007C2A28">
        <w:rPr>
          <w:rFonts w:ascii="Arial" w:hAnsi="Arial" w:cs="Arial"/>
          <w:b/>
          <w:bCs/>
          <w:sz w:val="24"/>
        </w:rPr>
        <w:t xml:space="preserve">e </w:t>
      </w:r>
      <w:proofErr w:type="spellStart"/>
      <w:r w:rsidR="008C79A1" w:rsidRPr="007C2A28">
        <w:rPr>
          <w:rFonts w:ascii="Arial" w:hAnsi="Arial" w:cs="Arial"/>
          <w:b/>
          <w:bCs/>
          <w:sz w:val="24"/>
        </w:rPr>
        <w:t>Mei</w:t>
      </w:r>
      <w:proofErr w:type="spellEnd"/>
      <w:r w:rsidRPr="007C2A28">
        <w:rPr>
          <w:rFonts w:ascii="Arial" w:hAnsi="Arial" w:cs="Arial"/>
          <w:b/>
          <w:bCs/>
          <w:sz w:val="24"/>
        </w:rPr>
        <w:t>, 2010</w:t>
      </w:r>
      <w:r w:rsidR="00143F92" w:rsidRPr="007C2A28">
        <w:rPr>
          <w:rFonts w:ascii="Arial" w:hAnsi="Arial" w:cs="Arial"/>
          <w:b/>
          <w:bCs/>
          <w:sz w:val="24"/>
        </w:rPr>
        <w:t>.</w:t>
      </w:r>
    </w:p>
    <w:p w14:paraId="30F82ED9" w14:textId="77777777" w:rsidR="00C001DD" w:rsidRPr="007C2A28" w:rsidRDefault="00C001DD" w:rsidP="00C001DD">
      <w:pPr>
        <w:spacing w:line="276" w:lineRule="auto"/>
        <w:ind w:firstLine="720"/>
        <w:jc w:val="both"/>
        <w:rPr>
          <w:color w:val="000000"/>
          <w:sz w:val="24"/>
          <w:szCs w:val="24"/>
        </w:rPr>
      </w:pPr>
    </w:p>
    <w:p w14:paraId="7B4C1615" w14:textId="0861481B" w:rsidR="00C001DD" w:rsidRPr="007C2A28" w:rsidRDefault="00C001DD" w:rsidP="00C001DD">
      <w:pPr>
        <w:spacing w:line="360" w:lineRule="auto"/>
        <w:jc w:val="both"/>
        <w:rPr>
          <w:b/>
          <w:color w:val="000000"/>
          <w:sz w:val="24"/>
          <w:szCs w:val="24"/>
          <w:highlight w:val="white"/>
        </w:rPr>
      </w:pPr>
      <w:r w:rsidRPr="007C2A28">
        <w:rPr>
          <w:b/>
          <w:color w:val="000000"/>
          <w:sz w:val="24"/>
          <w:szCs w:val="24"/>
          <w:highlight w:val="white"/>
        </w:rPr>
        <w:t xml:space="preserve">3.1.1 Corrosão </w:t>
      </w:r>
      <w:r w:rsidRPr="007C2A28">
        <w:rPr>
          <w:b/>
          <w:color w:val="000000"/>
          <w:sz w:val="24"/>
          <w:szCs w:val="24"/>
        </w:rPr>
        <w:t>Sob Tensão (CST)</w:t>
      </w:r>
    </w:p>
    <w:p w14:paraId="73C09311" w14:textId="517C0BFF" w:rsidR="00C001DD" w:rsidRPr="007C2A28" w:rsidRDefault="00C001DD" w:rsidP="008C79A1">
      <w:pPr>
        <w:spacing w:line="276" w:lineRule="auto"/>
        <w:ind w:firstLine="567"/>
        <w:jc w:val="both"/>
        <w:rPr>
          <w:color w:val="000000"/>
          <w:sz w:val="24"/>
          <w:szCs w:val="24"/>
        </w:rPr>
      </w:pPr>
      <w:r w:rsidRPr="007C2A28">
        <w:rPr>
          <w:color w:val="000000"/>
          <w:sz w:val="24"/>
          <w:szCs w:val="24"/>
        </w:rPr>
        <w:t xml:space="preserve">Corresponde à deterioração de materiais pela ação combinada de tensões residuais ou aplicadas e meios corrosivos. Há uma ação sinérgica entre a tensão mecânica e o meio corrosivo, ocasionando fratura em um tempo mais curto do que a soma das ações isoladas de tensão e da corrosão. A estrutura cristalina também influencia a corrosão sob tensão </w:t>
      </w:r>
      <w:proofErr w:type="spellStart"/>
      <w:r w:rsidRPr="007C2A28">
        <w:rPr>
          <w:color w:val="000000"/>
          <w:sz w:val="24"/>
          <w:szCs w:val="24"/>
        </w:rPr>
        <w:t>fraturante</w:t>
      </w:r>
      <w:proofErr w:type="spellEnd"/>
      <w:r w:rsidRPr="007C2A28">
        <w:rPr>
          <w:color w:val="000000"/>
          <w:sz w:val="24"/>
          <w:szCs w:val="24"/>
        </w:rPr>
        <w:t xml:space="preserve">. Assim, o aço inoxidável ferrítico é mais resistente a corrosão sob tensão </w:t>
      </w:r>
      <w:proofErr w:type="spellStart"/>
      <w:r w:rsidRPr="007C2A28">
        <w:rPr>
          <w:color w:val="000000"/>
          <w:sz w:val="24"/>
          <w:szCs w:val="24"/>
        </w:rPr>
        <w:t>fraturante</w:t>
      </w:r>
      <w:proofErr w:type="spellEnd"/>
      <w:r w:rsidRPr="007C2A28">
        <w:rPr>
          <w:color w:val="000000"/>
          <w:sz w:val="24"/>
          <w:szCs w:val="24"/>
        </w:rPr>
        <w:t xml:space="preserve"> quando exposto a soluções aquosas de cloreto do que o aço inoxidável austenítico (</w:t>
      </w:r>
      <w:proofErr w:type="spellStart"/>
      <w:r w:rsidRPr="007C2A28">
        <w:rPr>
          <w:color w:val="000000"/>
          <w:sz w:val="24"/>
          <w:szCs w:val="24"/>
        </w:rPr>
        <w:t>Metals</w:t>
      </w:r>
      <w:proofErr w:type="spellEnd"/>
      <w:r w:rsidRPr="007C2A28">
        <w:rPr>
          <w:color w:val="000000"/>
          <w:sz w:val="24"/>
          <w:szCs w:val="24"/>
        </w:rPr>
        <w:t xml:space="preserve"> </w:t>
      </w:r>
      <w:proofErr w:type="spellStart"/>
      <w:r w:rsidRPr="007C2A28">
        <w:rPr>
          <w:color w:val="000000"/>
          <w:sz w:val="24"/>
          <w:szCs w:val="24"/>
        </w:rPr>
        <w:t>Handbook</w:t>
      </w:r>
      <w:proofErr w:type="spellEnd"/>
      <w:r w:rsidRPr="007C2A28">
        <w:rPr>
          <w:color w:val="000000"/>
          <w:sz w:val="24"/>
          <w:szCs w:val="24"/>
        </w:rPr>
        <w:t xml:space="preserve">, 1975). Em decorrência da forte influência e temperatura, tem-se procurado estabelecer valores limites de concentração de cloreto nos quais não acontecem a corrosão por pite e a corrosão </w:t>
      </w:r>
      <w:r w:rsidRPr="007C2A28">
        <w:rPr>
          <w:color w:val="000000"/>
          <w:sz w:val="24"/>
          <w:szCs w:val="24"/>
        </w:rPr>
        <w:lastRenderedPageBreak/>
        <w:t xml:space="preserve">sob tensão </w:t>
      </w:r>
      <w:proofErr w:type="spellStart"/>
      <w:r w:rsidRPr="007C2A28">
        <w:rPr>
          <w:color w:val="000000"/>
          <w:sz w:val="24"/>
          <w:szCs w:val="24"/>
        </w:rPr>
        <w:t>fraturante</w:t>
      </w:r>
      <w:proofErr w:type="spellEnd"/>
      <w:r w:rsidRPr="007C2A28">
        <w:rPr>
          <w:color w:val="000000"/>
          <w:sz w:val="24"/>
          <w:szCs w:val="24"/>
        </w:rPr>
        <w:t xml:space="preserve"> (</w:t>
      </w:r>
      <w:r w:rsidR="008C79A1" w:rsidRPr="007C2A28">
        <w:rPr>
          <w:color w:val="000000"/>
          <w:sz w:val="24"/>
          <w:szCs w:val="24"/>
        </w:rPr>
        <w:t>GENTIL</w:t>
      </w:r>
      <w:r w:rsidRPr="007C2A28">
        <w:rPr>
          <w:color w:val="000000"/>
          <w:sz w:val="24"/>
          <w:szCs w:val="24"/>
        </w:rPr>
        <w:t>, 2012).</w:t>
      </w:r>
    </w:p>
    <w:p w14:paraId="2EE28F87" w14:textId="77777777" w:rsidR="00C001DD" w:rsidRPr="007C2A28" w:rsidRDefault="00C001DD" w:rsidP="00C001DD">
      <w:pPr>
        <w:spacing w:line="276" w:lineRule="auto"/>
        <w:ind w:firstLine="720"/>
        <w:jc w:val="both"/>
        <w:rPr>
          <w:color w:val="000000"/>
          <w:sz w:val="24"/>
          <w:szCs w:val="24"/>
          <w:highlight w:val="white"/>
        </w:rPr>
      </w:pPr>
    </w:p>
    <w:p w14:paraId="1844FFE3" w14:textId="70F526A0" w:rsidR="00E07B27" w:rsidRPr="007C2A28" w:rsidRDefault="007E0F75" w:rsidP="00E07B27">
      <w:pPr>
        <w:spacing w:line="360" w:lineRule="auto"/>
        <w:jc w:val="both"/>
        <w:rPr>
          <w:b/>
          <w:color w:val="000000"/>
          <w:sz w:val="24"/>
          <w:szCs w:val="24"/>
          <w:highlight w:val="white"/>
        </w:rPr>
      </w:pPr>
      <w:r w:rsidRPr="007C2A28">
        <w:rPr>
          <w:b/>
          <w:color w:val="000000"/>
          <w:sz w:val="24"/>
          <w:szCs w:val="24"/>
          <w:highlight w:val="white"/>
        </w:rPr>
        <w:t>4</w:t>
      </w:r>
      <w:r w:rsidR="00E07B27" w:rsidRPr="007C2A28">
        <w:rPr>
          <w:b/>
          <w:color w:val="000000"/>
          <w:sz w:val="24"/>
          <w:szCs w:val="24"/>
          <w:highlight w:val="white"/>
        </w:rPr>
        <w:t xml:space="preserve"> MATERIA</w:t>
      </w:r>
      <w:r w:rsidR="008C79A1">
        <w:rPr>
          <w:b/>
          <w:color w:val="000000"/>
          <w:sz w:val="24"/>
          <w:szCs w:val="24"/>
          <w:highlight w:val="white"/>
        </w:rPr>
        <w:t>IS</w:t>
      </w:r>
      <w:bookmarkStart w:id="0" w:name="_GoBack"/>
      <w:bookmarkEnd w:id="0"/>
      <w:r w:rsidR="00E07B27" w:rsidRPr="007C2A28">
        <w:rPr>
          <w:b/>
          <w:color w:val="000000"/>
          <w:sz w:val="24"/>
          <w:szCs w:val="24"/>
          <w:highlight w:val="white"/>
        </w:rPr>
        <w:t xml:space="preserve"> E MÉTODOS</w:t>
      </w:r>
    </w:p>
    <w:p w14:paraId="7E35C792" w14:textId="77777777" w:rsidR="007E0F75" w:rsidRPr="007C2A28" w:rsidRDefault="007E0F75" w:rsidP="008C79A1">
      <w:pPr>
        <w:spacing w:line="276" w:lineRule="auto"/>
        <w:ind w:firstLine="567"/>
        <w:jc w:val="both"/>
        <w:rPr>
          <w:color w:val="000000"/>
          <w:sz w:val="24"/>
          <w:szCs w:val="24"/>
        </w:rPr>
      </w:pPr>
      <w:r w:rsidRPr="007C2A28">
        <w:rPr>
          <w:color w:val="000000"/>
          <w:sz w:val="24"/>
          <w:szCs w:val="24"/>
        </w:rPr>
        <w:t>Foram analisadas e detalhadas as causas básicas das falhas nos cinco dos seis aquecedores de um sistema de CIP e listadas possíveis ações para mitigar/eliminar suas causas, de modo a manter a segurança do processo e a garantir a continuidade operacional.</w:t>
      </w:r>
    </w:p>
    <w:p w14:paraId="70363947" w14:textId="77777777" w:rsidR="007E0F75" w:rsidRPr="007C2A28" w:rsidRDefault="007E0F75" w:rsidP="007E0F75">
      <w:pPr>
        <w:spacing w:line="276" w:lineRule="auto"/>
        <w:jc w:val="both"/>
        <w:rPr>
          <w:color w:val="000000"/>
          <w:sz w:val="24"/>
          <w:szCs w:val="24"/>
        </w:rPr>
      </w:pPr>
    </w:p>
    <w:p w14:paraId="1844FFE4" w14:textId="5FAABB48" w:rsidR="009E76E6" w:rsidRPr="007C2A28" w:rsidRDefault="007E0F75" w:rsidP="008C79A1">
      <w:pPr>
        <w:spacing w:line="276" w:lineRule="auto"/>
        <w:ind w:firstLine="567"/>
        <w:jc w:val="both"/>
        <w:rPr>
          <w:color w:val="000000"/>
          <w:sz w:val="24"/>
          <w:szCs w:val="24"/>
        </w:rPr>
      </w:pPr>
      <w:r w:rsidRPr="007C2A28">
        <w:rPr>
          <w:color w:val="000000"/>
          <w:sz w:val="24"/>
          <w:szCs w:val="24"/>
        </w:rPr>
        <w:t>As amostras foram removidas de um conjunto de aquecedores, que apresentaram falhas para análise, conforme Figura 07. Em uma análise visual preliminar, estão evidentes diversos componentes dos aquecedores (tubos, chicanas, tirantes, etc.) que apresentam defeitos de diversas naturezas, cabendo esta análise ponderar quais foram determinantes ao processo de falha, através da relação de causalidade.</w:t>
      </w:r>
    </w:p>
    <w:p w14:paraId="040EFCE4" w14:textId="77777777" w:rsidR="00952DCE" w:rsidRDefault="00952DCE" w:rsidP="009E76E6">
      <w:pPr>
        <w:pStyle w:val="TextodoArtigo"/>
        <w:ind w:firstLine="709"/>
        <w:jc w:val="center"/>
        <w:rPr>
          <w:rFonts w:ascii="Arial" w:hAnsi="Arial" w:cs="Arial"/>
          <w:b/>
        </w:rPr>
      </w:pPr>
    </w:p>
    <w:p w14:paraId="2467632E" w14:textId="77777777" w:rsidR="009E76E6" w:rsidRDefault="009E76E6" w:rsidP="009E76E6">
      <w:pPr>
        <w:pStyle w:val="TextodoArtigo"/>
        <w:ind w:firstLine="709"/>
        <w:jc w:val="center"/>
        <w:rPr>
          <w:rFonts w:ascii="Arial" w:hAnsi="Arial" w:cs="Arial"/>
          <w:b/>
        </w:rPr>
      </w:pPr>
      <w:r w:rsidRPr="007C2A28">
        <w:rPr>
          <w:rFonts w:ascii="Arial" w:hAnsi="Arial" w:cs="Arial"/>
          <w:b/>
        </w:rPr>
        <w:t>Figura 07. Amostras de tubos e chicanas danificadas.</w:t>
      </w:r>
    </w:p>
    <w:p w14:paraId="04115853" w14:textId="77777777" w:rsidR="008C79A1" w:rsidRPr="007C2A28" w:rsidRDefault="008C79A1" w:rsidP="009E76E6">
      <w:pPr>
        <w:pStyle w:val="TextodoArtigo"/>
        <w:ind w:firstLine="709"/>
        <w:jc w:val="center"/>
        <w:rPr>
          <w:rFonts w:ascii="Arial" w:hAnsi="Arial" w:cs="Arial"/>
          <w:b/>
        </w:rPr>
      </w:pPr>
    </w:p>
    <w:p w14:paraId="7D0B6023" w14:textId="34E8DDC7" w:rsidR="007E0F75" w:rsidRPr="007C2A28" w:rsidRDefault="007E0F75" w:rsidP="007E0F75">
      <w:pPr>
        <w:pStyle w:val="TextodoArtigo"/>
        <w:ind w:firstLine="709"/>
        <w:jc w:val="center"/>
        <w:rPr>
          <w:rFonts w:ascii="Arial" w:hAnsi="Arial" w:cs="Arial"/>
        </w:rPr>
      </w:pPr>
      <w:r w:rsidRPr="007C2A28">
        <w:rPr>
          <w:rFonts w:ascii="Arial" w:hAnsi="Arial" w:cs="Arial"/>
          <w:noProof/>
          <w:lang w:eastAsia="pt-BR"/>
        </w:rPr>
        <w:drawing>
          <wp:inline distT="0" distB="0" distL="0" distR="0" wp14:anchorId="2F0C1195" wp14:editId="1148E794">
            <wp:extent cx="5379720" cy="5011420"/>
            <wp:effectExtent l="0" t="0" r="0" b="0"/>
            <wp:docPr id="27" name="Picture 27"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Untitled-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379720" cy="5011420"/>
                    </a:xfrm>
                    <a:prstGeom prst="rect">
                      <a:avLst/>
                    </a:prstGeom>
                    <a:noFill/>
                    <a:ln>
                      <a:noFill/>
                    </a:ln>
                  </pic:spPr>
                </pic:pic>
              </a:graphicData>
            </a:graphic>
          </wp:inline>
        </w:drawing>
      </w:r>
    </w:p>
    <w:p w14:paraId="38741058" w14:textId="77777777" w:rsidR="007E0F75" w:rsidRPr="007C2A28" w:rsidRDefault="007E0F75" w:rsidP="007E0F75">
      <w:pPr>
        <w:pStyle w:val="TextodoArtigo"/>
        <w:ind w:firstLine="709"/>
        <w:jc w:val="center"/>
        <w:rPr>
          <w:rFonts w:ascii="Arial" w:hAnsi="Arial" w:cs="Arial"/>
          <w:b/>
        </w:rPr>
      </w:pPr>
    </w:p>
    <w:p w14:paraId="32488770" w14:textId="77777777" w:rsidR="007E0F75" w:rsidRPr="007C2A28" w:rsidRDefault="007E0F75" w:rsidP="008C79A1">
      <w:pPr>
        <w:spacing w:line="276" w:lineRule="auto"/>
        <w:ind w:firstLine="567"/>
        <w:jc w:val="both"/>
        <w:rPr>
          <w:color w:val="000000"/>
          <w:sz w:val="24"/>
          <w:szCs w:val="24"/>
        </w:rPr>
      </w:pPr>
      <w:r w:rsidRPr="007C2A28">
        <w:rPr>
          <w:color w:val="000000"/>
          <w:sz w:val="24"/>
          <w:szCs w:val="24"/>
        </w:rPr>
        <w:lastRenderedPageBreak/>
        <w:t xml:space="preserve">Os principais mecanismos de falhas observados foram a corrosão sob tensão na presença de cloretos (CLSCC) com fratura transgranular de dentro para fora dos tubos e aberturas de arco entre o elemento resistor e a parede dos tubos. Ambos os mecanismos de falha pressupõem a presença do fluido externo aos tubos dentro dos tubos. </w:t>
      </w:r>
    </w:p>
    <w:p w14:paraId="2380A12A" w14:textId="77777777" w:rsidR="007E0F75" w:rsidRPr="007C2A28" w:rsidRDefault="007E0F75" w:rsidP="008C79A1">
      <w:pPr>
        <w:spacing w:line="276" w:lineRule="auto"/>
        <w:ind w:firstLine="567"/>
        <w:jc w:val="both"/>
        <w:rPr>
          <w:color w:val="000000"/>
          <w:sz w:val="24"/>
          <w:szCs w:val="24"/>
        </w:rPr>
      </w:pPr>
    </w:p>
    <w:p w14:paraId="6490D9EE" w14:textId="41353DD4" w:rsidR="009E76E6" w:rsidRPr="007C2A28" w:rsidRDefault="007E0F75" w:rsidP="008C79A1">
      <w:pPr>
        <w:spacing w:line="276" w:lineRule="auto"/>
        <w:ind w:firstLine="567"/>
        <w:jc w:val="both"/>
        <w:rPr>
          <w:color w:val="000000"/>
          <w:sz w:val="24"/>
          <w:szCs w:val="24"/>
        </w:rPr>
      </w:pPr>
      <w:r w:rsidRPr="007C2A28">
        <w:rPr>
          <w:color w:val="000000"/>
          <w:sz w:val="24"/>
          <w:szCs w:val="24"/>
        </w:rPr>
        <w:t>A Figura 08 apresenta corrosão externa por pites e alvéolos caracterizados por uma pequena abertura superficial e um grande volume de cavidade interna, com fundos tipicamente arredondados (Figura 09). A partir do momento em que a corrosão transpassou completamente a espessura do tubo, permitindo o contato do meio com seu interior, tornou-se possível a ocorrência de corrosão sob tensão na presença de cloretos com fratura transgranular de dentro para fora dos tubos.</w:t>
      </w:r>
    </w:p>
    <w:p w14:paraId="3291C169" w14:textId="28762B84" w:rsidR="009E76E6" w:rsidRPr="007C2A28" w:rsidRDefault="009E76E6">
      <w:pPr>
        <w:rPr>
          <w:color w:val="000000"/>
          <w:sz w:val="24"/>
          <w:szCs w:val="24"/>
        </w:rPr>
      </w:pPr>
    </w:p>
    <w:p w14:paraId="7BAA153E" w14:textId="77777777" w:rsidR="00952DCE" w:rsidRDefault="00952DCE" w:rsidP="009E76E6">
      <w:pPr>
        <w:pStyle w:val="TextodoArtigo"/>
        <w:jc w:val="center"/>
        <w:rPr>
          <w:rFonts w:ascii="Arial" w:hAnsi="Arial" w:cs="Arial"/>
          <w:b/>
          <w:bCs/>
        </w:rPr>
      </w:pPr>
    </w:p>
    <w:p w14:paraId="1CB5B95B" w14:textId="77777777" w:rsidR="009E76E6" w:rsidRPr="007C2A28" w:rsidRDefault="009E76E6" w:rsidP="009E76E6">
      <w:pPr>
        <w:pStyle w:val="TextodoArtigo"/>
        <w:jc w:val="center"/>
        <w:rPr>
          <w:rFonts w:ascii="Arial" w:hAnsi="Arial" w:cs="Arial"/>
          <w:b/>
          <w:bCs/>
        </w:rPr>
      </w:pPr>
      <w:r w:rsidRPr="007C2A28">
        <w:rPr>
          <w:rFonts w:ascii="Arial" w:hAnsi="Arial" w:cs="Arial"/>
          <w:b/>
          <w:bCs/>
        </w:rPr>
        <w:t>Figura 08. Corrosão externa localizada.</w:t>
      </w:r>
    </w:p>
    <w:p w14:paraId="73132952" w14:textId="430A6875" w:rsidR="007E0F75" w:rsidRPr="007C2A28" w:rsidRDefault="007E0F75" w:rsidP="007E0F75">
      <w:pPr>
        <w:pStyle w:val="TextodoArtigo"/>
        <w:jc w:val="center"/>
        <w:rPr>
          <w:rFonts w:ascii="Arial" w:hAnsi="Arial" w:cs="Arial"/>
        </w:rPr>
      </w:pPr>
      <w:r w:rsidRPr="007C2A28">
        <w:rPr>
          <w:rFonts w:ascii="Arial" w:hAnsi="Arial" w:cs="Arial"/>
          <w:noProof/>
          <w:lang w:eastAsia="pt-BR"/>
        </w:rPr>
        <w:drawing>
          <wp:inline distT="0" distB="0" distL="0" distR="0" wp14:anchorId="7CC2A11A" wp14:editId="1113E37A">
            <wp:extent cx="3301365" cy="244602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301365" cy="2446020"/>
                    </a:xfrm>
                    <a:prstGeom prst="rect">
                      <a:avLst/>
                    </a:prstGeom>
                    <a:noFill/>
                    <a:ln>
                      <a:noFill/>
                    </a:ln>
                  </pic:spPr>
                </pic:pic>
              </a:graphicData>
            </a:graphic>
          </wp:inline>
        </w:drawing>
      </w:r>
    </w:p>
    <w:p w14:paraId="41251212" w14:textId="77777777" w:rsidR="007E0F75" w:rsidRPr="007C2A28" w:rsidRDefault="007E0F75" w:rsidP="007E0F75">
      <w:pPr>
        <w:pStyle w:val="TextodoArtigo"/>
        <w:jc w:val="center"/>
        <w:rPr>
          <w:rFonts w:ascii="Arial" w:hAnsi="Arial" w:cs="Arial"/>
          <w:b/>
          <w:bCs/>
        </w:rPr>
      </w:pPr>
    </w:p>
    <w:p w14:paraId="5ACC5A83" w14:textId="77777777" w:rsidR="009E76E6" w:rsidRPr="007C2A28" w:rsidRDefault="009E76E6" w:rsidP="009E76E6">
      <w:pPr>
        <w:pStyle w:val="TextodoArtigo"/>
        <w:ind w:left="700" w:firstLine="0"/>
        <w:jc w:val="center"/>
        <w:rPr>
          <w:rFonts w:ascii="Arial" w:hAnsi="Arial" w:cs="Arial"/>
          <w:b/>
          <w:bCs/>
        </w:rPr>
      </w:pPr>
      <w:r w:rsidRPr="007C2A28">
        <w:rPr>
          <w:rFonts w:ascii="Arial" w:hAnsi="Arial" w:cs="Arial"/>
          <w:b/>
          <w:bCs/>
        </w:rPr>
        <w:t>Figura 09. Morfologia da corrosão externa (a) a partir de uma vista superior (b) e de uma vista transversal.</w:t>
      </w:r>
    </w:p>
    <w:p w14:paraId="19074971" w14:textId="598D7A69" w:rsidR="009E76E6" w:rsidRPr="007C2A28" w:rsidRDefault="009E76E6" w:rsidP="009E76E6">
      <w:pPr>
        <w:pStyle w:val="TextodoArtigo"/>
        <w:numPr>
          <w:ilvl w:val="0"/>
          <w:numId w:val="1"/>
        </w:numPr>
        <w:jc w:val="center"/>
        <w:rPr>
          <w:rFonts w:ascii="Arial" w:hAnsi="Arial" w:cs="Arial"/>
          <w:b/>
          <w:bCs/>
        </w:rPr>
      </w:pPr>
      <w:r w:rsidRPr="007C2A28">
        <w:rPr>
          <w:rFonts w:ascii="Arial" w:hAnsi="Arial" w:cs="Arial"/>
          <w:b/>
          <w:bCs/>
        </w:rPr>
        <w:t xml:space="preserve">                                                                    (b)</w:t>
      </w:r>
    </w:p>
    <w:p w14:paraId="412D122F" w14:textId="0A446064" w:rsidR="007E0F75" w:rsidRPr="007C2A28" w:rsidRDefault="007E0F75" w:rsidP="007E0F75">
      <w:pPr>
        <w:pStyle w:val="TextodoArtigo"/>
        <w:ind w:firstLine="0"/>
        <w:jc w:val="center"/>
        <w:rPr>
          <w:rFonts w:ascii="Arial" w:hAnsi="Arial" w:cs="Arial"/>
          <w:b/>
          <w:bCs/>
        </w:rPr>
      </w:pPr>
      <w:r w:rsidRPr="007C2A28">
        <w:rPr>
          <w:rFonts w:ascii="Arial" w:hAnsi="Arial" w:cs="Arial"/>
          <w:noProof/>
          <w:lang w:eastAsia="pt-BR"/>
        </w:rPr>
        <w:drawing>
          <wp:inline distT="0" distB="0" distL="0" distR="0" wp14:anchorId="51AB50AA" wp14:editId="5CD80DC9">
            <wp:extent cx="2650993" cy="1959429"/>
            <wp:effectExtent l="0" t="0" r="0" b="317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650809" cy="1959293"/>
                    </a:xfrm>
                    <a:prstGeom prst="rect">
                      <a:avLst/>
                    </a:prstGeom>
                    <a:noFill/>
                    <a:ln>
                      <a:noFill/>
                    </a:ln>
                  </pic:spPr>
                </pic:pic>
              </a:graphicData>
            </a:graphic>
          </wp:inline>
        </w:drawing>
      </w:r>
      <w:r w:rsidRPr="007C2A28">
        <w:rPr>
          <w:rFonts w:ascii="Arial" w:hAnsi="Arial" w:cs="Arial"/>
          <w:noProof/>
          <w:lang w:eastAsia="pt-BR"/>
        </w:rPr>
        <w:drawing>
          <wp:inline distT="0" distB="0" distL="0" distR="0" wp14:anchorId="34426B17" wp14:editId="02CA253D">
            <wp:extent cx="2588821" cy="1985384"/>
            <wp:effectExtent l="0" t="0" r="254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591761" cy="1987639"/>
                    </a:xfrm>
                    <a:prstGeom prst="rect">
                      <a:avLst/>
                    </a:prstGeom>
                    <a:noFill/>
                    <a:ln>
                      <a:noFill/>
                    </a:ln>
                  </pic:spPr>
                </pic:pic>
              </a:graphicData>
            </a:graphic>
          </wp:inline>
        </w:drawing>
      </w:r>
    </w:p>
    <w:p w14:paraId="3D5036E9" w14:textId="77777777" w:rsidR="007E0F75" w:rsidRPr="007C2A28" w:rsidRDefault="007E0F75" w:rsidP="007E0F75">
      <w:pPr>
        <w:spacing w:line="276" w:lineRule="auto"/>
        <w:ind w:firstLine="720"/>
        <w:jc w:val="both"/>
        <w:rPr>
          <w:color w:val="000000"/>
          <w:sz w:val="24"/>
          <w:szCs w:val="24"/>
          <w:highlight w:val="white"/>
        </w:rPr>
      </w:pPr>
    </w:p>
    <w:p w14:paraId="3E651DAB" w14:textId="54CA4C7E" w:rsidR="009E76E6" w:rsidRPr="007C2A28" w:rsidRDefault="007E0F75" w:rsidP="008C79A1">
      <w:pPr>
        <w:spacing w:line="276" w:lineRule="auto"/>
        <w:ind w:firstLine="567"/>
        <w:jc w:val="both"/>
        <w:rPr>
          <w:color w:val="000000"/>
          <w:sz w:val="24"/>
          <w:szCs w:val="24"/>
        </w:rPr>
      </w:pPr>
      <w:r w:rsidRPr="007C2A28">
        <w:rPr>
          <w:color w:val="000000"/>
          <w:sz w:val="24"/>
          <w:szCs w:val="24"/>
        </w:rPr>
        <w:t xml:space="preserve">De acordo com as Figuras 10 e 11, a análise de energia dispersiva pode-se observar altas concentrações de cloro nas amostras dos tubos analisadas da ordem </w:t>
      </w:r>
      <w:r w:rsidRPr="007C2A28">
        <w:rPr>
          <w:color w:val="000000"/>
          <w:sz w:val="24"/>
          <w:szCs w:val="24"/>
        </w:rPr>
        <w:lastRenderedPageBreak/>
        <w:t>ou superiores de 1% em peso atômico, tanto nos produtos de corrosão externas, quantos nos internos. Da análise comparativa encontrados na região externa entre a razão de amplitude dos teores de cloro/ferro dos produtos de corrosão dentro e fora das cavidades corroídas, é possível concluir que os produtos de corrosão dentro da cavidade possuíam teores de cloro superiores em relação a região externa.</w:t>
      </w:r>
    </w:p>
    <w:p w14:paraId="59CE715A" w14:textId="77777777" w:rsidR="00952DCE" w:rsidRDefault="00952DCE" w:rsidP="009E76E6">
      <w:pPr>
        <w:pStyle w:val="TextodoArtigo"/>
        <w:jc w:val="center"/>
        <w:rPr>
          <w:rFonts w:ascii="Arial" w:hAnsi="Arial" w:cs="Arial"/>
          <w:b/>
          <w:bCs/>
        </w:rPr>
      </w:pPr>
    </w:p>
    <w:p w14:paraId="5FDF82DA" w14:textId="77777777" w:rsidR="00952DCE" w:rsidRDefault="00952DCE" w:rsidP="009E76E6">
      <w:pPr>
        <w:pStyle w:val="TextodoArtigo"/>
        <w:jc w:val="center"/>
        <w:rPr>
          <w:rFonts w:ascii="Arial" w:hAnsi="Arial" w:cs="Arial"/>
          <w:b/>
          <w:bCs/>
        </w:rPr>
      </w:pPr>
    </w:p>
    <w:p w14:paraId="4E309EC1" w14:textId="77777777" w:rsidR="009E76E6" w:rsidRPr="007C2A28" w:rsidRDefault="009E76E6" w:rsidP="009E76E6">
      <w:pPr>
        <w:pStyle w:val="TextodoArtigo"/>
        <w:jc w:val="center"/>
        <w:rPr>
          <w:rFonts w:ascii="Arial" w:hAnsi="Arial" w:cs="Arial"/>
          <w:b/>
          <w:bCs/>
        </w:rPr>
      </w:pPr>
      <w:r w:rsidRPr="007C2A28">
        <w:rPr>
          <w:rFonts w:ascii="Arial" w:hAnsi="Arial" w:cs="Arial"/>
          <w:b/>
          <w:bCs/>
        </w:rPr>
        <w:t>Figura 10. Comparativos dos espectros do material do tubo sem e com presença de resíduo externo de corrosão.</w:t>
      </w:r>
    </w:p>
    <w:p w14:paraId="1B60F817" w14:textId="4830031C" w:rsidR="007E0F75" w:rsidRPr="007C2A28" w:rsidRDefault="007E0F75" w:rsidP="007E0F75">
      <w:pPr>
        <w:spacing w:line="276" w:lineRule="auto"/>
        <w:ind w:firstLine="720"/>
        <w:jc w:val="center"/>
        <w:rPr>
          <w:color w:val="000000"/>
          <w:sz w:val="24"/>
          <w:szCs w:val="24"/>
        </w:rPr>
      </w:pPr>
      <w:r w:rsidRPr="007C2A28">
        <w:rPr>
          <w:noProof/>
        </w:rPr>
        <w:drawing>
          <wp:inline distT="0" distB="0" distL="0" distR="0" wp14:anchorId="4474A726" wp14:editId="55ABF5D8">
            <wp:extent cx="2434590" cy="1852295"/>
            <wp:effectExtent l="0" t="0" r="381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434590" cy="1852295"/>
                    </a:xfrm>
                    <a:prstGeom prst="rect">
                      <a:avLst/>
                    </a:prstGeom>
                    <a:noFill/>
                    <a:ln>
                      <a:noFill/>
                    </a:ln>
                  </pic:spPr>
                </pic:pic>
              </a:graphicData>
            </a:graphic>
          </wp:inline>
        </w:drawing>
      </w:r>
      <w:r w:rsidRPr="007C2A28">
        <w:rPr>
          <w:noProof/>
        </w:rPr>
        <w:drawing>
          <wp:inline distT="0" distB="0" distL="0" distR="0" wp14:anchorId="4A3D3DC3" wp14:editId="0BE1FDE5">
            <wp:extent cx="2814452" cy="1933753"/>
            <wp:effectExtent l="0" t="0" r="5080" b="952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816850" cy="1935401"/>
                    </a:xfrm>
                    <a:prstGeom prst="rect">
                      <a:avLst/>
                    </a:prstGeom>
                    <a:noFill/>
                    <a:ln>
                      <a:noFill/>
                    </a:ln>
                  </pic:spPr>
                </pic:pic>
              </a:graphicData>
            </a:graphic>
          </wp:inline>
        </w:drawing>
      </w:r>
    </w:p>
    <w:p w14:paraId="721A3A75" w14:textId="77777777" w:rsidR="007E0F75" w:rsidRDefault="007E0F75" w:rsidP="007E0F75">
      <w:pPr>
        <w:pStyle w:val="TextodoArtigo"/>
        <w:jc w:val="center"/>
        <w:rPr>
          <w:rFonts w:ascii="Arial" w:hAnsi="Arial" w:cs="Arial"/>
        </w:rPr>
      </w:pPr>
    </w:p>
    <w:p w14:paraId="0A829673" w14:textId="77777777" w:rsidR="008C79A1" w:rsidRPr="007C2A28" w:rsidRDefault="008C79A1" w:rsidP="007E0F75">
      <w:pPr>
        <w:pStyle w:val="TextodoArtigo"/>
        <w:jc w:val="center"/>
        <w:rPr>
          <w:rFonts w:ascii="Arial" w:hAnsi="Arial" w:cs="Arial"/>
        </w:rPr>
      </w:pPr>
    </w:p>
    <w:p w14:paraId="2AE88CF0" w14:textId="77777777" w:rsidR="009E76E6" w:rsidRPr="007C2A28" w:rsidRDefault="009E76E6" w:rsidP="009E76E6">
      <w:pPr>
        <w:pStyle w:val="TextodoArtigo"/>
        <w:jc w:val="center"/>
        <w:rPr>
          <w:rFonts w:ascii="Arial" w:hAnsi="Arial" w:cs="Arial"/>
          <w:b/>
          <w:bCs/>
        </w:rPr>
      </w:pPr>
      <w:r w:rsidRPr="007C2A28">
        <w:rPr>
          <w:rFonts w:ascii="Arial" w:hAnsi="Arial" w:cs="Arial"/>
          <w:b/>
          <w:bCs/>
        </w:rPr>
        <w:t>Figura 11. Espectro do resíduo de corrosão dentro da trinca. A relação de intensidade dos teores de cloro/ferro dentro da trinca é superior àquela demonstrada na Figura 10.</w:t>
      </w:r>
    </w:p>
    <w:p w14:paraId="6F269F94" w14:textId="1E5E71DD" w:rsidR="007E0F75" w:rsidRPr="007C2A28" w:rsidRDefault="007E0F75" w:rsidP="007E0F75">
      <w:pPr>
        <w:pStyle w:val="TextodoArtigo"/>
        <w:ind w:firstLine="0"/>
        <w:jc w:val="center"/>
        <w:rPr>
          <w:rFonts w:ascii="Arial" w:hAnsi="Arial" w:cs="Arial"/>
        </w:rPr>
      </w:pPr>
      <w:r w:rsidRPr="007C2A28">
        <w:rPr>
          <w:rFonts w:ascii="Arial" w:hAnsi="Arial" w:cs="Arial"/>
          <w:noProof/>
          <w:lang w:eastAsia="pt-BR"/>
        </w:rPr>
        <w:drawing>
          <wp:inline distT="0" distB="0" distL="0" distR="0" wp14:anchorId="2A773D54" wp14:editId="52BFAD0B">
            <wp:extent cx="2434590" cy="1828800"/>
            <wp:effectExtent l="0" t="0" r="381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434590" cy="1828800"/>
                    </a:xfrm>
                    <a:prstGeom prst="rect">
                      <a:avLst/>
                    </a:prstGeom>
                    <a:noFill/>
                    <a:ln>
                      <a:noFill/>
                    </a:ln>
                  </pic:spPr>
                </pic:pic>
              </a:graphicData>
            </a:graphic>
          </wp:inline>
        </w:drawing>
      </w:r>
      <w:r w:rsidRPr="007C2A28">
        <w:rPr>
          <w:rFonts w:ascii="Arial" w:hAnsi="Arial" w:cs="Arial"/>
          <w:noProof/>
          <w:lang w:eastAsia="pt-BR"/>
        </w:rPr>
        <w:drawing>
          <wp:inline distT="0" distB="0" distL="0" distR="0" wp14:anchorId="3B78910A" wp14:editId="695C5A18">
            <wp:extent cx="2707574" cy="1839858"/>
            <wp:effectExtent l="0" t="0" r="0" b="825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711870" cy="1842777"/>
                    </a:xfrm>
                    <a:prstGeom prst="rect">
                      <a:avLst/>
                    </a:prstGeom>
                    <a:noFill/>
                    <a:ln>
                      <a:noFill/>
                    </a:ln>
                  </pic:spPr>
                </pic:pic>
              </a:graphicData>
            </a:graphic>
          </wp:inline>
        </w:drawing>
      </w:r>
    </w:p>
    <w:p w14:paraId="37C4EAC0" w14:textId="77777777" w:rsidR="007E0F75" w:rsidRDefault="007E0F75" w:rsidP="007E0F75">
      <w:pPr>
        <w:pStyle w:val="TextodoArtigo"/>
        <w:jc w:val="center"/>
        <w:rPr>
          <w:rFonts w:ascii="Arial" w:hAnsi="Arial" w:cs="Arial"/>
        </w:rPr>
      </w:pPr>
    </w:p>
    <w:p w14:paraId="4ED26B14" w14:textId="77777777" w:rsidR="008C79A1" w:rsidRPr="007C2A28" w:rsidRDefault="008C79A1" w:rsidP="007E0F75">
      <w:pPr>
        <w:pStyle w:val="TextodoArtigo"/>
        <w:jc w:val="center"/>
        <w:rPr>
          <w:rFonts w:ascii="Arial" w:hAnsi="Arial" w:cs="Arial"/>
        </w:rPr>
      </w:pPr>
    </w:p>
    <w:p w14:paraId="0EFB23BE" w14:textId="0143573E" w:rsidR="009E76E6" w:rsidRPr="007C2A28" w:rsidRDefault="007E0F75" w:rsidP="008C79A1">
      <w:pPr>
        <w:spacing w:line="276" w:lineRule="auto"/>
        <w:ind w:firstLine="567"/>
        <w:jc w:val="both"/>
        <w:rPr>
          <w:color w:val="000000"/>
          <w:sz w:val="24"/>
          <w:szCs w:val="24"/>
        </w:rPr>
      </w:pPr>
      <w:r w:rsidRPr="007C2A28">
        <w:rPr>
          <w:color w:val="000000"/>
          <w:sz w:val="24"/>
          <w:szCs w:val="24"/>
        </w:rPr>
        <w:t>Foi constatado que a nucleação e propagação das trincas que efetivamente provocaram as falhas, ocorrem em sentido oposto, de dentro para fora (Figura 12). A despeito da água contendo cloro estar em contato com a superfície externa dos tubos, e, portanto, ser esta superfície na qual existe início do processo global de falhas nos tubos (Figura 12). Este fato conduz a hipótese de que, após a perda total localizada de espessura pela corrosão externa em algumas regiões, houve migração de água com cloro para dentro do tubo em condições tais para que em outras regiões o processo de trincamento fosse possível.</w:t>
      </w:r>
    </w:p>
    <w:p w14:paraId="0F769AA7" w14:textId="77777777" w:rsidR="009E76E6" w:rsidRPr="007C2A28" w:rsidRDefault="009E76E6">
      <w:pPr>
        <w:rPr>
          <w:color w:val="000000"/>
          <w:sz w:val="24"/>
          <w:szCs w:val="24"/>
        </w:rPr>
      </w:pPr>
      <w:r w:rsidRPr="007C2A28">
        <w:rPr>
          <w:color w:val="000000"/>
          <w:sz w:val="24"/>
          <w:szCs w:val="24"/>
        </w:rPr>
        <w:br w:type="page"/>
      </w:r>
    </w:p>
    <w:p w14:paraId="5417A3D4" w14:textId="77777777" w:rsidR="009E76E6" w:rsidRPr="007C2A28" w:rsidRDefault="009E76E6" w:rsidP="009E76E6">
      <w:pPr>
        <w:pStyle w:val="TextodoArtigo"/>
        <w:ind w:firstLine="0"/>
        <w:jc w:val="center"/>
        <w:rPr>
          <w:rFonts w:ascii="Arial" w:hAnsi="Arial" w:cs="Arial"/>
          <w:b/>
          <w:bCs/>
        </w:rPr>
      </w:pPr>
      <w:r w:rsidRPr="007C2A28">
        <w:rPr>
          <w:rFonts w:ascii="Arial" w:hAnsi="Arial" w:cs="Arial"/>
          <w:b/>
          <w:bCs/>
        </w:rPr>
        <w:lastRenderedPageBreak/>
        <w:t>Figura 12. Início do processo de falha, a partir da corrosão externa do tubo (a) e a propagação de trincas, da superfície externa dos tubos (evolução das trincas visualizadas em regiões distintas) (b).</w:t>
      </w:r>
    </w:p>
    <w:p w14:paraId="7EDEBD6D" w14:textId="544FC186" w:rsidR="009E76E6" w:rsidRPr="007C2A28" w:rsidRDefault="009E76E6" w:rsidP="009E76E6">
      <w:pPr>
        <w:pStyle w:val="TextodoArtigo"/>
        <w:numPr>
          <w:ilvl w:val="0"/>
          <w:numId w:val="2"/>
        </w:numPr>
        <w:jc w:val="center"/>
        <w:rPr>
          <w:rFonts w:ascii="Arial" w:hAnsi="Arial" w:cs="Arial"/>
          <w:b/>
          <w:bCs/>
        </w:rPr>
      </w:pPr>
      <w:r w:rsidRPr="007C2A28">
        <w:rPr>
          <w:rFonts w:ascii="Arial" w:hAnsi="Arial" w:cs="Arial"/>
          <w:b/>
          <w:bCs/>
        </w:rPr>
        <w:t xml:space="preserve">                                                                                 (b)</w:t>
      </w:r>
    </w:p>
    <w:p w14:paraId="19023858" w14:textId="5396E73F" w:rsidR="007E0F75" w:rsidRPr="007C2A28" w:rsidRDefault="007E0F75" w:rsidP="009E76E6">
      <w:pPr>
        <w:spacing w:line="276" w:lineRule="auto"/>
        <w:jc w:val="both"/>
      </w:pPr>
      <w:r w:rsidRPr="007C2A28">
        <w:rPr>
          <w:noProof/>
        </w:rPr>
        <w:drawing>
          <wp:inline distT="0" distB="0" distL="0" distR="0" wp14:anchorId="5A125067" wp14:editId="246559ED">
            <wp:extent cx="2850078" cy="2134720"/>
            <wp:effectExtent l="0" t="0" r="762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50078" cy="2134720"/>
                    </a:xfrm>
                    <a:prstGeom prst="rect">
                      <a:avLst/>
                    </a:prstGeom>
                    <a:noFill/>
                    <a:ln>
                      <a:noFill/>
                    </a:ln>
                  </pic:spPr>
                </pic:pic>
              </a:graphicData>
            </a:graphic>
          </wp:inline>
        </w:drawing>
      </w:r>
      <w:r w:rsidRPr="007C2A28">
        <w:rPr>
          <w:noProof/>
        </w:rPr>
        <w:drawing>
          <wp:inline distT="0" distB="0" distL="0" distR="0" wp14:anchorId="0BA37668" wp14:editId="1C89966C">
            <wp:extent cx="2873828" cy="2149564"/>
            <wp:effectExtent l="0" t="0" r="3175" b="317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912430" cy="2178437"/>
                    </a:xfrm>
                    <a:prstGeom prst="rect">
                      <a:avLst/>
                    </a:prstGeom>
                    <a:noFill/>
                    <a:ln>
                      <a:noFill/>
                    </a:ln>
                  </pic:spPr>
                </pic:pic>
              </a:graphicData>
            </a:graphic>
          </wp:inline>
        </w:drawing>
      </w:r>
    </w:p>
    <w:p w14:paraId="2D6299D5" w14:textId="77777777" w:rsidR="007E0F75" w:rsidRPr="007C2A28" w:rsidRDefault="007E0F75" w:rsidP="007E0F75">
      <w:pPr>
        <w:spacing w:line="276" w:lineRule="auto"/>
        <w:ind w:firstLine="720"/>
        <w:jc w:val="both"/>
        <w:rPr>
          <w:color w:val="000000"/>
          <w:sz w:val="24"/>
          <w:szCs w:val="24"/>
          <w:highlight w:val="white"/>
        </w:rPr>
      </w:pPr>
    </w:p>
    <w:p w14:paraId="47664480" w14:textId="77777777" w:rsidR="007E0F75" w:rsidRPr="007C2A28" w:rsidRDefault="007E0F75" w:rsidP="008C79A1">
      <w:pPr>
        <w:spacing w:line="276" w:lineRule="auto"/>
        <w:ind w:firstLine="567"/>
        <w:jc w:val="both"/>
        <w:rPr>
          <w:color w:val="000000"/>
          <w:sz w:val="24"/>
          <w:szCs w:val="24"/>
        </w:rPr>
      </w:pPr>
      <w:r w:rsidRPr="007C2A28">
        <w:rPr>
          <w:color w:val="000000"/>
          <w:sz w:val="24"/>
          <w:szCs w:val="24"/>
        </w:rPr>
        <w:t xml:space="preserve">Para obtenção das características microestruturais do material, foram realizados ataques químicos com solução de Vilella (5 ml de </w:t>
      </w:r>
      <w:proofErr w:type="spellStart"/>
      <w:r w:rsidRPr="007C2A28">
        <w:rPr>
          <w:color w:val="000000"/>
          <w:sz w:val="24"/>
          <w:szCs w:val="24"/>
        </w:rPr>
        <w:t>HCl</w:t>
      </w:r>
      <w:proofErr w:type="spellEnd"/>
      <w:r w:rsidRPr="007C2A28">
        <w:rPr>
          <w:color w:val="000000"/>
          <w:sz w:val="24"/>
          <w:szCs w:val="24"/>
        </w:rPr>
        <w:t xml:space="preserve"> + 2 gramas de ácido pícrico + 100 ml de álcool etílico) e ataques eletroquímicos com solução oxálica (10 gramas de ácido oxálico + 10 ml de H2O). Foram observadas trincas ramificadas e transgranulares (Figura 13). Trincas ramificadas em aços inoxidáveis austeníticos são características de modo de falha por corrosão sob tensão, enquanto as fraturas transgranulares indicam que a propagação deva estar de fato correlacionada à processos eletroquímicos extremos (</w:t>
      </w:r>
      <w:proofErr w:type="spellStart"/>
      <w:r w:rsidRPr="007C2A28">
        <w:rPr>
          <w:color w:val="000000"/>
          <w:sz w:val="24"/>
          <w:szCs w:val="24"/>
        </w:rPr>
        <w:t>Vimal</w:t>
      </w:r>
      <w:proofErr w:type="spellEnd"/>
      <w:r w:rsidRPr="007C2A28">
        <w:rPr>
          <w:color w:val="000000"/>
          <w:sz w:val="24"/>
          <w:szCs w:val="24"/>
        </w:rPr>
        <w:t>, 1997).</w:t>
      </w:r>
    </w:p>
    <w:p w14:paraId="51A4018C" w14:textId="77777777" w:rsidR="009E76E6" w:rsidRPr="007C2A28" w:rsidRDefault="009E76E6" w:rsidP="009E76E6">
      <w:pPr>
        <w:spacing w:line="276" w:lineRule="auto"/>
        <w:jc w:val="both"/>
        <w:rPr>
          <w:b/>
          <w:bCs/>
        </w:rPr>
      </w:pPr>
    </w:p>
    <w:p w14:paraId="01A2F056" w14:textId="03759A10" w:rsidR="007E0F75" w:rsidRPr="007C2A28" w:rsidRDefault="009E76E6" w:rsidP="009E76E6">
      <w:pPr>
        <w:spacing w:line="276" w:lineRule="auto"/>
        <w:jc w:val="center"/>
        <w:rPr>
          <w:color w:val="000000"/>
          <w:szCs w:val="24"/>
        </w:rPr>
      </w:pPr>
      <w:r w:rsidRPr="007C2A28">
        <w:rPr>
          <w:b/>
          <w:bCs/>
          <w:sz w:val="20"/>
        </w:rPr>
        <w:t>Figura 13. Trincas ramificadas transgranulares comprovando a corrosão sob tensão na presença de cloretos (evolução das trincas visualizadas em regiões distintas).</w:t>
      </w:r>
    </w:p>
    <w:p w14:paraId="29417C94" w14:textId="395EB718" w:rsidR="007E0F75" w:rsidRPr="007C2A28" w:rsidRDefault="007E0F75" w:rsidP="007E0F75">
      <w:pPr>
        <w:spacing w:line="276" w:lineRule="auto"/>
        <w:jc w:val="center"/>
        <w:rPr>
          <w:color w:val="000000"/>
          <w:sz w:val="24"/>
          <w:szCs w:val="24"/>
        </w:rPr>
      </w:pPr>
      <w:r w:rsidRPr="007C2A28">
        <w:rPr>
          <w:noProof/>
        </w:rPr>
        <w:drawing>
          <wp:inline distT="0" distB="0" distL="0" distR="0" wp14:anchorId="73E0E251" wp14:editId="155727FA">
            <wp:extent cx="5753735" cy="1414780"/>
            <wp:effectExtent l="0" t="0" r="0" b="0"/>
            <wp:docPr id="37" name="Picture 37" descr="D:\Downloads\Untitled-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D:\Downloads\Untitled-4.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53735" cy="1414780"/>
                    </a:xfrm>
                    <a:prstGeom prst="rect">
                      <a:avLst/>
                    </a:prstGeom>
                    <a:noFill/>
                    <a:ln>
                      <a:noFill/>
                    </a:ln>
                  </pic:spPr>
                </pic:pic>
              </a:graphicData>
            </a:graphic>
          </wp:inline>
        </w:drawing>
      </w:r>
    </w:p>
    <w:p w14:paraId="5233C145" w14:textId="77777777" w:rsidR="006555C7" w:rsidRPr="007C2A28" w:rsidRDefault="006555C7" w:rsidP="007E0F75">
      <w:pPr>
        <w:spacing w:line="276" w:lineRule="auto"/>
        <w:ind w:firstLine="720"/>
        <w:jc w:val="both"/>
        <w:rPr>
          <w:color w:val="000000"/>
          <w:sz w:val="24"/>
          <w:szCs w:val="24"/>
          <w:highlight w:val="white"/>
        </w:rPr>
      </w:pPr>
    </w:p>
    <w:p w14:paraId="1844FFE5" w14:textId="74E07FDC" w:rsidR="00E07B27" w:rsidRPr="007C2A28" w:rsidRDefault="00BA32C3" w:rsidP="00E07B27">
      <w:pPr>
        <w:spacing w:line="360" w:lineRule="auto"/>
        <w:jc w:val="both"/>
        <w:rPr>
          <w:b/>
          <w:color w:val="000000"/>
          <w:sz w:val="24"/>
          <w:szCs w:val="24"/>
          <w:highlight w:val="white"/>
        </w:rPr>
      </w:pPr>
      <w:r>
        <w:rPr>
          <w:b/>
          <w:color w:val="000000"/>
          <w:sz w:val="24"/>
          <w:szCs w:val="24"/>
          <w:highlight w:val="white"/>
        </w:rPr>
        <w:t>5</w:t>
      </w:r>
      <w:r w:rsidR="00E07B27" w:rsidRPr="007C2A28">
        <w:rPr>
          <w:b/>
          <w:color w:val="000000"/>
          <w:sz w:val="24"/>
          <w:szCs w:val="24"/>
          <w:highlight w:val="white"/>
        </w:rPr>
        <w:t xml:space="preserve"> RESULTADOS E DISCUSSÃO</w:t>
      </w:r>
    </w:p>
    <w:p w14:paraId="06A8FB54" w14:textId="77777777" w:rsidR="00D5292C" w:rsidRPr="007C2A28" w:rsidRDefault="00D5292C" w:rsidP="008C79A1">
      <w:pPr>
        <w:spacing w:line="276" w:lineRule="auto"/>
        <w:ind w:firstLine="426"/>
        <w:jc w:val="both"/>
        <w:rPr>
          <w:color w:val="000000"/>
          <w:sz w:val="24"/>
          <w:szCs w:val="24"/>
        </w:rPr>
      </w:pPr>
      <w:r w:rsidRPr="007C2A28">
        <w:rPr>
          <w:color w:val="000000"/>
          <w:sz w:val="24"/>
          <w:szCs w:val="24"/>
        </w:rPr>
        <w:t xml:space="preserve">A corrosão sob tensão é caracterizada quando a taxa de propagação da trinca é superior a taxa de corrosão. Em meios contendo cloreto, enquanto o processo de corrosão localizada é fortemente dependente da concentração de cloreto (mas pouco dependente da temperatura), o crescimento da trinca é fortemente dependente da temperatura (apesar de pouco variável com o teor de cloreto e o pH do meio). A despeito de usualmente se estabelecer uma temperatura crítica para ocorrência de corrosão sob tensão de aços inoxidáveis austeníticos em meios contendo cloreto para </w:t>
      </w:r>
      <w:r w:rsidRPr="007C2A28">
        <w:rPr>
          <w:color w:val="000000"/>
          <w:sz w:val="24"/>
          <w:szCs w:val="24"/>
        </w:rPr>
        <w:lastRenderedPageBreak/>
        <w:t>valores acima de 42°C (P Che-</w:t>
      </w:r>
      <w:proofErr w:type="spellStart"/>
      <w:r w:rsidRPr="007C2A28">
        <w:rPr>
          <w:color w:val="000000"/>
          <w:sz w:val="24"/>
          <w:szCs w:val="24"/>
        </w:rPr>
        <w:t>sheng</w:t>
      </w:r>
      <w:proofErr w:type="spellEnd"/>
      <w:r w:rsidRPr="007C2A28">
        <w:rPr>
          <w:color w:val="000000"/>
          <w:sz w:val="24"/>
          <w:szCs w:val="24"/>
        </w:rPr>
        <w:t xml:space="preserve"> </w:t>
      </w:r>
      <w:proofErr w:type="spellStart"/>
      <w:r w:rsidRPr="007C2A28">
        <w:rPr>
          <w:color w:val="000000"/>
          <w:sz w:val="24"/>
          <w:szCs w:val="24"/>
        </w:rPr>
        <w:t>chen</w:t>
      </w:r>
      <w:proofErr w:type="spellEnd"/>
      <w:r w:rsidRPr="007C2A28">
        <w:rPr>
          <w:color w:val="000000"/>
          <w:sz w:val="24"/>
          <w:szCs w:val="24"/>
        </w:rPr>
        <w:t xml:space="preserve"> et al, 1997), a literatura mostra que várias corrosões sob tensão na presença de cloretos ocorrem para temperaturas inferiores (tais como as existentes no tanque) mediante uma conjuração de outros fatores, tais como encruamento do material, presença de contaminantes de ferro e depósitos com alto teor de cloro (R </w:t>
      </w:r>
      <w:proofErr w:type="spellStart"/>
      <w:r w:rsidRPr="007C2A28">
        <w:rPr>
          <w:color w:val="000000"/>
          <w:sz w:val="24"/>
          <w:szCs w:val="24"/>
        </w:rPr>
        <w:t>Parrot</w:t>
      </w:r>
      <w:proofErr w:type="spellEnd"/>
      <w:r w:rsidRPr="007C2A28">
        <w:rPr>
          <w:color w:val="000000"/>
          <w:sz w:val="24"/>
          <w:szCs w:val="24"/>
        </w:rPr>
        <w:t xml:space="preserve"> e H </w:t>
      </w:r>
      <w:proofErr w:type="spellStart"/>
      <w:r w:rsidRPr="007C2A28">
        <w:rPr>
          <w:color w:val="000000"/>
          <w:sz w:val="24"/>
          <w:szCs w:val="24"/>
        </w:rPr>
        <w:t>Pitts</w:t>
      </w:r>
      <w:proofErr w:type="spellEnd"/>
      <w:r w:rsidRPr="007C2A28">
        <w:rPr>
          <w:color w:val="000000"/>
          <w:sz w:val="24"/>
          <w:szCs w:val="24"/>
        </w:rPr>
        <w:t>, 2011).</w:t>
      </w:r>
    </w:p>
    <w:p w14:paraId="1BBE6729" w14:textId="77777777" w:rsidR="00D5292C" w:rsidRPr="007C2A28" w:rsidRDefault="00D5292C" w:rsidP="00D5292C">
      <w:pPr>
        <w:spacing w:line="276" w:lineRule="auto"/>
        <w:jc w:val="both"/>
        <w:rPr>
          <w:color w:val="000000"/>
          <w:sz w:val="24"/>
          <w:szCs w:val="24"/>
        </w:rPr>
      </w:pPr>
    </w:p>
    <w:p w14:paraId="170CDF9D" w14:textId="77777777" w:rsidR="00632EED" w:rsidRPr="007C2A28" w:rsidRDefault="00D5292C" w:rsidP="008C79A1">
      <w:pPr>
        <w:spacing w:line="276" w:lineRule="auto"/>
        <w:ind w:firstLine="426"/>
        <w:jc w:val="both"/>
        <w:rPr>
          <w:color w:val="000000"/>
          <w:sz w:val="24"/>
          <w:szCs w:val="24"/>
        </w:rPr>
      </w:pPr>
      <w:r w:rsidRPr="007C2A28">
        <w:rPr>
          <w:color w:val="000000"/>
          <w:sz w:val="24"/>
          <w:szCs w:val="24"/>
        </w:rPr>
        <w:t>O Quadro 02 apresenta critérios fundamentados em inspeções baseadas em risco, demonstra que nas condições de operação da CIP a possibilidade de corrosão sob tensão na presença de cloretos nos tubos dos aquecedores é de média para elevada.</w:t>
      </w:r>
    </w:p>
    <w:p w14:paraId="678B8E5B" w14:textId="77777777" w:rsidR="00632EED" w:rsidRPr="007C2A28" w:rsidRDefault="00632EED" w:rsidP="00632EED">
      <w:pPr>
        <w:spacing w:line="276" w:lineRule="auto"/>
        <w:rPr>
          <w:b/>
          <w:bCs/>
        </w:rPr>
      </w:pPr>
    </w:p>
    <w:p w14:paraId="1844FFE6" w14:textId="63EB587C" w:rsidR="00E07B27" w:rsidRPr="007C2A28" w:rsidRDefault="00632EED" w:rsidP="00632EED">
      <w:pPr>
        <w:spacing w:line="276" w:lineRule="auto"/>
        <w:jc w:val="center"/>
        <w:rPr>
          <w:color w:val="000000"/>
          <w:sz w:val="20"/>
          <w:szCs w:val="20"/>
        </w:rPr>
      </w:pPr>
      <w:r w:rsidRPr="007C2A28">
        <w:rPr>
          <w:b/>
          <w:bCs/>
          <w:sz w:val="20"/>
          <w:szCs w:val="20"/>
        </w:rPr>
        <w:t>Quadro 02. Critério para avaliar a suscetibilidade a corrosão sob tensão na presença de cloretos de aços inoxidáveis em meios aquosos com pH ≤ 10 (consideram possibilidade de depósitos de cloreto)</w:t>
      </w:r>
    </w:p>
    <w:p w14:paraId="243D543E" w14:textId="15C8520A" w:rsidR="00D5292C" w:rsidRPr="007C2A28" w:rsidRDefault="00D5292C" w:rsidP="00D5292C">
      <w:pPr>
        <w:pStyle w:val="TextodoArtigo"/>
        <w:jc w:val="center"/>
        <w:rPr>
          <w:rFonts w:ascii="Arial" w:hAnsi="Arial" w:cs="Arial"/>
        </w:rPr>
      </w:pPr>
      <w:r w:rsidRPr="007C2A28">
        <w:rPr>
          <w:rFonts w:ascii="Arial" w:hAnsi="Arial" w:cs="Arial"/>
          <w:noProof/>
          <w:lang w:eastAsia="pt-BR"/>
        </w:rPr>
        <w:drawing>
          <wp:inline distT="0" distB="0" distL="0" distR="0" wp14:anchorId="6ACBB721" wp14:editId="2D216B8E">
            <wp:extent cx="5332021" cy="2029536"/>
            <wp:effectExtent l="19050" t="19050" r="21590" b="2794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6"/>
                    <pic:cNvPicPr>
                      <a:picLocks noChangeAspect="1" noChangeArrowheads="1"/>
                    </pic:cNvPicPr>
                  </pic:nvPicPr>
                  <pic:blipFill>
                    <a:blip r:embed="rId27">
                      <a:extLst>
                        <a:ext uri="{28A0092B-C50C-407E-A947-70E740481C1C}">
                          <a14:useLocalDpi xmlns:a14="http://schemas.microsoft.com/office/drawing/2010/main" val="0"/>
                        </a:ext>
                      </a:extLst>
                    </a:blip>
                    <a:srcRect t="28938"/>
                    <a:stretch>
                      <a:fillRect/>
                    </a:stretch>
                  </pic:blipFill>
                  <pic:spPr bwMode="auto">
                    <a:xfrm>
                      <a:off x="0" y="0"/>
                      <a:ext cx="5404493" cy="2057121"/>
                    </a:xfrm>
                    <a:prstGeom prst="rect">
                      <a:avLst/>
                    </a:prstGeom>
                    <a:noFill/>
                    <a:ln w="6350" cmpd="sng" algn="ctr">
                      <a:solidFill>
                        <a:srgbClr val="000000"/>
                      </a:solidFill>
                      <a:miter lim="800000"/>
                      <a:headEnd/>
                      <a:tailEnd/>
                    </a:ln>
                    <a:effectLst/>
                  </pic:spPr>
                </pic:pic>
              </a:graphicData>
            </a:graphic>
          </wp:inline>
        </w:drawing>
      </w:r>
    </w:p>
    <w:p w14:paraId="1EA3B7C2" w14:textId="1FF5D3B5" w:rsidR="00D5292C" w:rsidRPr="007C2A28" w:rsidRDefault="00632EED" w:rsidP="00D5292C">
      <w:pPr>
        <w:pStyle w:val="TextodoArtigo"/>
        <w:jc w:val="center"/>
        <w:rPr>
          <w:rFonts w:ascii="Arial" w:hAnsi="Arial" w:cs="Arial"/>
          <w:b/>
          <w:bCs/>
          <w:sz w:val="24"/>
        </w:rPr>
      </w:pPr>
      <w:r w:rsidRPr="007C2A28">
        <w:rPr>
          <w:rFonts w:ascii="Arial" w:hAnsi="Arial" w:cs="Arial"/>
          <w:b/>
          <w:bCs/>
          <w:sz w:val="24"/>
        </w:rPr>
        <w:t xml:space="preserve">Fonte: R </w:t>
      </w:r>
      <w:proofErr w:type="spellStart"/>
      <w:r w:rsidRPr="007C2A28">
        <w:rPr>
          <w:rFonts w:ascii="Arial" w:hAnsi="Arial" w:cs="Arial"/>
          <w:b/>
          <w:bCs/>
          <w:sz w:val="24"/>
        </w:rPr>
        <w:t>Parrot</w:t>
      </w:r>
      <w:proofErr w:type="spellEnd"/>
      <w:r w:rsidRPr="007C2A28">
        <w:rPr>
          <w:rFonts w:ascii="Arial" w:hAnsi="Arial" w:cs="Arial"/>
          <w:b/>
          <w:bCs/>
          <w:sz w:val="24"/>
        </w:rPr>
        <w:t xml:space="preserve"> e H </w:t>
      </w:r>
      <w:proofErr w:type="spellStart"/>
      <w:r w:rsidRPr="007C2A28">
        <w:rPr>
          <w:rFonts w:ascii="Arial" w:hAnsi="Arial" w:cs="Arial"/>
          <w:b/>
          <w:bCs/>
          <w:sz w:val="24"/>
        </w:rPr>
        <w:t>Pitts</w:t>
      </w:r>
      <w:proofErr w:type="spellEnd"/>
      <w:r w:rsidRPr="007C2A28">
        <w:rPr>
          <w:rFonts w:ascii="Arial" w:hAnsi="Arial" w:cs="Arial"/>
          <w:b/>
          <w:bCs/>
          <w:sz w:val="24"/>
        </w:rPr>
        <w:t>, 2011</w:t>
      </w:r>
      <w:r w:rsidR="00D5292C" w:rsidRPr="007C2A28">
        <w:rPr>
          <w:rFonts w:ascii="Arial" w:hAnsi="Arial" w:cs="Arial"/>
          <w:b/>
          <w:bCs/>
          <w:sz w:val="24"/>
        </w:rPr>
        <w:t xml:space="preserve">. </w:t>
      </w:r>
    </w:p>
    <w:p w14:paraId="1F78C346" w14:textId="77777777" w:rsidR="00D5292C" w:rsidRPr="007C2A28" w:rsidRDefault="00D5292C" w:rsidP="00D5292C">
      <w:pPr>
        <w:spacing w:line="276" w:lineRule="auto"/>
        <w:ind w:firstLine="720"/>
        <w:jc w:val="both"/>
        <w:rPr>
          <w:color w:val="000000"/>
          <w:sz w:val="24"/>
          <w:szCs w:val="24"/>
          <w:highlight w:val="white"/>
        </w:rPr>
      </w:pPr>
    </w:p>
    <w:p w14:paraId="776BA9DA" w14:textId="672B627A" w:rsidR="00D5292C" w:rsidRPr="007C2A28" w:rsidRDefault="00D5292C" w:rsidP="008C79A1">
      <w:pPr>
        <w:spacing w:line="276" w:lineRule="auto"/>
        <w:ind w:firstLine="567"/>
        <w:jc w:val="both"/>
        <w:rPr>
          <w:color w:val="000000"/>
          <w:sz w:val="24"/>
          <w:szCs w:val="24"/>
        </w:rPr>
      </w:pPr>
      <w:r w:rsidRPr="007C2A28">
        <w:rPr>
          <w:color w:val="000000"/>
          <w:sz w:val="24"/>
          <w:szCs w:val="24"/>
        </w:rPr>
        <w:t xml:space="preserve">Os aços inoxidáveis austeníticos são conhecidos por apresentarem baixa resistência à corrosão localizada em meios contendo cloreto (a partir de concentrações da ordem de unidades de partes por milhão), em um processo no qual após nucleação de um pequeno ponto de corrosão, seu crescimento ocorre por mecanismo </w:t>
      </w:r>
      <w:proofErr w:type="spellStart"/>
      <w:r w:rsidRPr="007C2A28">
        <w:rPr>
          <w:color w:val="000000"/>
          <w:sz w:val="24"/>
          <w:szCs w:val="24"/>
        </w:rPr>
        <w:t>autocatalítico</w:t>
      </w:r>
      <w:proofErr w:type="spellEnd"/>
      <w:r w:rsidRPr="007C2A28">
        <w:rPr>
          <w:color w:val="000000"/>
          <w:sz w:val="24"/>
          <w:szCs w:val="24"/>
        </w:rPr>
        <w:t>, caracterizado pela atração de íons cloreto pelos cátions metálicos dissolvidos, promovendo a hidrólise da água e consequentemente acidificação do eletrólito no interior do ponto corroído.</w:t>
      </w:r>
    </w:p>
    <w:p w14:paraId="066DDF61" w14:textId="77777777" w:rsidR="00D5292C" w:rsidRPr="007C2A28" w:rsidRDefault="00D5292C" w:rsidP="00D5292C">
      <w:pPr>
        <w:spacing w:line="276" w:lineRule="auto"/>
        <w:ind w:firstLine="720"/>
        <w:jc w:val="both"/>
        <w:rPr>
          <w:color w:val="000000"/>
          <w:sz w:val="24"/>
          <w:szCs w:val="24"/>
          <w:highlight w:val="white"/>
        </w:rPr>
      </w:pPr>
    </w:p>
    <w:p w14:paraId="1844FFE7" w14:textId="0DE0EBBA" w:rsidR="00E07B27" w:rsidRPr="007C2A28" w:rsidRDefault="00BA32C3" w:rsidP="00E07B27">
      <w:pPr>
        <w:spacing w:line="360" w:lineRule="auto"/>
        <w:jc w:val="both"/>
        <w:rPr>
          <w:b/>
          <w:color w:val="000000"/>
          <w:sz w:val="24"/>
          <w:szCs w:val="24"/>
          <w:highlight w:val="white"/>
        </w:rPr>
      </w:pPr>
      <w:r>
        <w:rPr>
          <w:b/>
          <w:color w:val="000000"/>
          <w:sz w:val="24"/>
          <w:szCs w:val="24"/>
          <w:highlight w:val="white"/>
        </w:rPr>
        <w:t>6</w:t>
      </w:r>
      <w:r w:rsidR="00E07B27" w:rsidRPr="007C2A28">
        <w:rPr>
          <w:b/>
          <w:color w:val="000000"/>
          <w:sz w:val="24"/>
          <w:szCs w:val="24"/>
          <w:highlight w:val="white"/>
        </w:rPr>
        <w:t xml:space="preserve"> CONSIDERAÇÕES FINAIS</w:t>
      </w:r>
    </w:p>
    <w:p w14:paraId="1844FFE8" w14:textId="1DA22B2B" w:rsidR="00E07B27" w:rsidRPr="007C2A28" w:rsidRDefault="00D5292C" w:rsidP="008C79A1">
      <w:pPr>
        <w:spacing w:line="276" w:lineRule="auto"/>
        <w:ind w:firstLine="567"/>
        <w:jc w:val="both"/>
        <w:rPr>
          <w:color w:val="000000"/>
          <w:sz w:val="24"/>
          <w:szCs w:val="24"/>
        </w:rPr>
      </w:pPr>
      <w:r w:rsidRPr="007C2A28">
        <w:rPr>
          <w:color w:val="000000"/>
          <w:sz w:val="24"/>
          <w:szCs w:val="24"/>
        </w:rPr>
        <w:t>De forma geral, pode-se afirmar que a presença de alto teor de cloreto foi o principal fator causador do processo de degradação da camada passiva no tubo aço inoxidável AISI 304. O processo de corrosão externa localizada, pela presença inadequada de cloreto no fluido, deve ser considerado a causa raiz das falhas. O aprimoramento no controle de qualidade do fluido, evitando quaisquer contaminações com água salgada ao longo de todas as etapas de limpeza executadas pelo sistema CIP é fundamental para que não haja recorrências de falhas neste sistema.</w:t>
      </w:r>
    </w:p>
    <w:p w14:paraId="1844FFE9" w14:textId="7962CC08" w:rsidR="00C62217" w:rsidRPr="007C2A28" w:rsidRDefault="008C79A1" w:rsidP="00E07B27">
      <w:pPr>
        <w:spacing w:line="360" w:lineRule="auto"/>
        <w:jc w:val="both"/>
        <w:rPr>
          <w:b/>
          <w:sz w:val="24"/>
          <w:szCs w:val="24"/>
          <w:highlight w:val="white"/>
        </w:rPr>
      </w:pPr>
      <w:r>
        <w:rPr>
          <w:b/>
          <w:sz w:val="24"/>
          <w:szCs w:val="24"/>
          <w:highlight w:val="white"/>
        </w:rPr>
        <w:lastRenderedPageBreak/>
        <w:t xml:space="preserve">7. </w:t>
      </w:r>
      <w:r w:rsidR="00903F81" w:rsidRPr="007C2A28">
        <w:rPr>
          <w:b/>
          <w:sz w:val="24"/>
          <w:szCs w:val="24"/>
          <w:highlight w:val="white"/>
        </w:rPr>
        <w:t>REFERÊNCIAS</w:t>
      </w:r>
    </w:p>
    <w:p w14:paraId="46AD2B3D" w14:textId="52CF4267" w:rsidR="005B16E7" w:rsidRPr="007C2A28" w:rsidRDefault="005B16E7" w:rsidP="005440C7">
      <w:pPr>
        <w:spacing w:line="276" w:lineRule="auto"/>
        <w:jc w:val="both"/>
        <w:rPr>
          <w:sz w:val="24"/>
          <w:szCs w:val="24"/>
        </w:rPr>
      </w:pPr>
      <w:proofErr w:type="spellStart"/>
      <w:r w:rsidRPr="007C2A28">
        <w:rPr>
          <w:sz w:val="24"/>
          <w:szCs w:val="24"/>
        </w:rPr>
        <w:t>Callister</w:t>
      </w:r>
      <w:proofErr w:type="spellEnd"/>
      <w:r w:rsidRPr="007C2A28">
        <w:rPr>
          <w:sz w:val="24"/>
          <w:szCs w:val="24"/>
        </w:rPr>
        <w:t xml:space="preserve"> Jr., W. D.; </w:t>
      </w:r>
      <w:proofErr w:type="spellStart"/>
      <w:r w:rsidRPr="007C2A28">
        <w:rPr>
          <w:sz w:val="24"/>
          <w:szCs w:val="24"/>
        </w:rPr>
        <w:t>Rethwisch</w:t>
      </w:r>
      <w:proofErr w:type="spellEnd"/>
      <w:r w:rsidRPr="007C2A28">
        <w:rPr>
          <w:sz w:val="24"/>
          <w:szCs w:val="24"/>
        </w:rPr>
        <w:t xml:space="preserve">, D. G. Ciência e Engenharia dos Materiais: Uma Introdução. 8. Ed. Rio de </w:t>
      </w:r>
      <w:proofErr w:type="gramStart"/>
      <w:r w:rsidRPr="007C2A28">
        <w:rPr>
          <w:sz w:val="24"/>
          <w:szCs w:val="24"/>
        </w:rPr>
        <w:t>Janeiro:LTC</w:t>
      </w:r>
      <w:proofErr w:type="gramEnd"/>
      <w:r w:rsidRPr="007C2A28">
        <w:rPr>
          <w:sz w:val="24"/>
          <w:szCs w:val="24"/>
        </w:rPr>
        <w:t>,2015.</w:t>
      </w:r>
    </w:p>
    <w:p w14:paraId="7C609594" w14:textId="77777777" w:rsidR="005B16E7" w:rsidRPr="007C2A28" w:rsidRDefault="005B16E7" w:rsidP="005440C7">
      <w:pPr>
        <w:spacing w:line="276" w:lineRule="auto"/>
        <w:jc w:val="both"/>
        <w:rPr>
          <w:sz w:val="24"/>
          <w:szCs w:val="24"/>
          <w:lang w:val="en-US"/>
        </w:rPr>
      </w:pPr>
      <w:proofErr w:type="spellStart"/>
      <w:r w:rsidRPr="00DB2A70">
        <w:rPr>
          <w:sz w:val="24"/>
          <w:szCs w:val="24"/>
          <w:lang w:val="es-CO"/>
        </w:rPr>
        <w:t>Codaro</w:t>
      </w:r>
      <w:proofErr w:type="spellEnd"/>
      <w:r w:rsidRPr="00DB2A70">
        <w:rPr>
          <w:sz w:val="24"/>
          <w:szCs w:val="24"/>
          <w:lang w:val="es-CO"/>
        </w:rPr>
        <w:t xml:space="preserve">. E. N et al. </w:t>
      </w:r>
      <w:r w:rsidRPr="007C2A28">
        <w:rPr>
          <w:sz w:val="24"/>
          <w:szCs w:val="24"/>
          <w:lang w:val="en-US"/>
        </w:rPr>
        <w:t>“An image analysis of pit formation on Ti-A1-4V” Material Science and Engineering, v. 341, P.1- 2002,2003.</w:t>
      </w:r>
    </w:p>
    <w:p w14:paraId="2057477A" w14:textId="77777777" w:rsidR="005B16E7" w:rsidRPr="007C2A28" w:rsidRDefault="005B16E7" w:rsidP="005440C7">
      <w:pPr>
        <w:spacing w:line="276" w:lineRule="auto"/>
        <w:jc w:val="both"/>
        <w:rPr>
          <w:sz w:val="24"/>
          <w:szCs w:val="24"/>
        </w:rPr>
      </w:pPr>
      <w:r w:rsidRPr="007C2A28">
        <w:rPr>
          <w:sz w:val="24"/>
          <w:szCs w:val="24"/>
        </w:rPr>
        <w:t>Documento “Instruções Operacionais do Sistema de Injeção de Água” - Rev. D, SINDOTEC, 2019.</w:t>
      </w:r>
    </w:p>
    <w:p w14:paraId="4F5DDEC6" w14:textId="77777777" w:rsidR="005B16E7" w:rsidRPr="007C2A28" w:rsidRDefault="005B16E7" w:rsidP="005440C7">
      <w:pPr>
        <w:spacing w:line="276" w:lineRule="auto"/>
        <w:jc w:val="both"/>
        <w:rPr>
          <w:sz w:val="24"/>
          <w:szCs w:val="24"/>
        </w:rPr>
      </w:pPr>
      <w:r w:rsidRPr="007C2A28">
        <w:rPr>
          <w:sz w:val="24"/>
          <w:szCs w:val="24"/>
        </w:rPr>
        <w:t xml:space="preserve">GE </w:t>
      </w:r>
      <w:proofErr w:type="spellStart"/>
      <w:r w:rsidRPr="007C2A28">
        <w:rPr>
          <w:sz w:val="24"/>
          <w:szCs w:val="24"/>
        </w:rPr>
        <w:t>Water</w:t>
      </w:r>
      <w:proofErr w:type="spellEnd"/>
      <w:r w:rsidRPr="007C2A28">
        <w:rPr>
          <w:sz w:val="24"/>
          <w:szCs w:val="24"/>
        </w:rPr>
        <w:t xml:space="preserve"> &amp; </w:t>
      </w:r>
      <w:proofErr w:type="spellStart"/>
      <w:r w:rsidRPr="007C2A28">
        <w:rPr>
          <w:sz w:val="24"/>
          <w:szCs w:val="24"/>
        </w:rPr>
        <w:t>Process</w:t>
      </w:r>
      <w:proofErr w:type="spellEnd"/>
      <w:r w:rsidRPr="007C2A28">
        <w:rPr>
          <w:sz w:val="24"/>
          <w:szCs w:val="24"/>
        </w:rPr>
        <w:t xml:space="preserve"> Technologies – Ficha de Informações de Segurança de Produtos Químicos (FISPQ) </w:t>
      </w:r>
      <w:proofErr w:type="spellStart"/>
      <w:r w:rsidRPr="007C2A28">
        <w:rPr>
          <w:sz w:val="24"/>
          <w:szCs w:val="24"/>
        </w:rPr>
        <w:t>Kleen</w:t>
      </w:r>
      <w:proofErr w:type="spellEnd"/>
      <w:r w:rsidRPr="007C2A28">
        <w:rPr>
          <w:sz w:val="24"/>
          <w:szCs w:val="24"/>
        </w:rPr>
        <w:t xml:space="preserve"> MCT511BR, 2015.</w:t>
      </w:r>
    </w:p>
    <w:p w14:paraId="5F382865" w14:textId="77777777" w:rsidR="005B16E7" w:rsidRPr="007C2A28" w:rsidRDefault="005B16E7" w:rsidP="005440C7">
      <w:pPr>
        <w:spacing w:line="276" w:lineRule="auto"/>
        <w:jc w:val="both"/>
        <w:rPr>
          <w:sz w:val="24"/>
          <w:szCs w:val="24"/>
        </w:rPr>
      </w:pPr>
      <w:r w:rsidRPr="007C2A28">
        <w:rPr>
          <w:sz w:val="24"/>
          <w:szCs w:val="24"/>
        </w:rPr>
        <w:t xml:space="preserve">GE </w:t>
      </w:r>
      <w:proofErr w:type="spellStart"/>
      <w:r w:rsidRPr="007C2A28">
        <w:rPr>
          <w:sz w:val="24"/>
          <w:szCs w:val="24"/>
        </w:rPr>
        <w:t>Water</w:t>
      </w:r>
      <w:proofErr w:type="spellEnd"/>
      <w:r w:rsidRPr="007C2A28">
        <w:rPr>
          <w:sz w:val="24"/>
          <w:szCs w:val="24"/>
        </w:rPr>
        <w:t xml:space="preserve"> &amp; </w:t>
      </w:r>
      <w:proofErr w:type="spellStart"/>
      <w:r w:rsidRPr="007C2A28">
        <w:rPr>
          <w:sz w:val="24"/>
          <w:szCs w:val="24"/>
        </w:rPr>
        <w:t>Process</w:t>
      </w:r>
      <w:proofErr w:type="spellEnd"/>
      <w:r w:rsidRPr="007C2A28">
        <w:rPr>
          <w:sz w:val="24"/>
          <w:szCs w:val="24"/>
        </w:rPr>
        <w:t xml:space="preserve"> Technologies – Ficha de Informações de Segurança de Produtos Químicos (FISPQ) </w:t>
      </w:r>
      <w:proofErr w:type="spellStart"/>
      <w:r w:rsidRPr="007C2A28">
        <w:rPr>
          <w:sz w:val="24"/>
          <w:szCs w:val="24"/>
        </w:rPr>
        <w:t>Kleen</w:t>
      </w:r>
      <w:proofErr w:type="spellEnd"/>
      <w:r w:rsidRPr="007C2A28">
        <w:rPr>
          <w:sz w:val="24"/>
          <w:szCs w:val="24"/>
        </w:rPr>
        <w:t xml:space="preserve"> MCT882BR, 2015.</w:t>
      </w:r>
    </w:p>
    <w:p w14:paraId="08729C10" w14:textId="77777777" w:rsidR="005B16E7" w:rsidRPr="007C2A28" w:rsidRDefault="005B16E7" w:rsidP="005440C7">
      <w:pPr>
        <w:spacing w:line="276" w:lineRule="auto"/>
        <w:jc w:val="both"/>
        <w:rPr>
          <w:sz w:val="24"/>
          <w:szCs w:val="24"/>
          <w:lang w:val="en-US"/>
        </w:rPr>
      </w:pPr>
      <w:r w:rsidRPr="007C2A28">
        <w:rPr>
          <w:sz w:val="24"/>
          <w:szCs w:val="24"/>
          <w:lang w:val="en-US"/>
        </w:rPr>
        <w:t xml:space="preserve">Metals </w:t>
      </w:r>
      <w:proofErr w:type="spellStart"/>
      <w:r w:rsidRPr="007C2A28">
        <w:rPr>
          <w:sz w:val="24"/>
          <w:szCs w:val="24"/>
          <w:lang w:val="en-US"/>
        </w:rPr>
        <w:t>Hadbook</w:t>
      </w:r>
      <w:proofErr w:type="spellEnd"/>
      <w:r w:rsidRPr="007C2A28">
        <w:rPr>
          <w:sz w:val="24"/>
          <w:szCs w:val="24"/>
          <w:lang w:val="en-US"/>
        </w:rPr>
        <w:t>, Vol. 10 “Failure Analysis and Prevention, American Society for Metals”, USA, 1975, pp 973.</w:t>
      </w:r>
    </w:p>
    <w:p w14:paraId="2FD9BE79" w14:textId="77777777" w:rsidR="005B16E7" w:rsidRPr="007C2A28" w:rsidRDefault="005B16E7" w:rsidP="005440C7">
      <w:pPr>
        <w:spacing w:line="276" w:lineRule="auto"/>
        <w:jc w:val="both"/>
        <w:rPr>
          <w:sz w:val="24"/>
          <w:szCs w:val="24"/>
        </w:rPr>
      </w:pPr>
      <w:r w:rsidRPr="007C2A28">
        <w:rPr>
          <w:sz w:val="24"/>
          <w:szCs w:val="24"/>
        </w:rPr>
        <w:t>N-1812, Norma PETROBRAS, Estruturas Oceânicas. Rev. C, 2006.</w:t>
      </w:r>
    </w:p>
    <w:p w14:paraId="4F6CE553" w14:textId="77777777" w:rsidR="005B16E7" w:rsidRPr="007C2A28" w:rsidRDefault="005B16E7" w:rsidP="005440C7">
      <w:pPr>
        <w:spacing w:line="276" w:lineRule="auto"/>
        <w:jc w:val="both"/>
        <w:rPr>
          <w:sz w:val="24"/>
          <w:szCs w:val="24"/>
        </w:rPr>
      </w:pPr>
      <w:r w:rsidRPr="007C2A28">
        <w:rPr>
          <w:sz w:val="24"/>
          <w:szCs w:val="24"/>
        </w:rPr>
        <w:t xml:space="preserve">Marina </w:t>
      </w:r>
      <w:proofErr w:type="spellStart"/>
      <w:r w:rsidRPr="007C2A28">
        <w:rPr>
          <w:sz w:val="24"/>
          <w:szCs w:val="24"/>
        </w:rPr>
        <w:t>Feltran</w:t>
      </w:r>
      <w:proofErr w:type="spellEnd"/>
      <w:r w:rsidRPr="007C2A28">
        <w:rPr>
          <w:sz w:val="24"/>
          <w:szCs w:val="24"/>
        </w:rPr>
        <w:t xml:space="preserve"> [UPPN] (UO-BS/ENGP/PMF) – Curso de Tratamento de Água do Mar para Injeção, 2018             </w:t>
      </w:r>
    </w:p>
    <w:p w14:paraId="1FA671ED" w14:textId="77777777" w:rsidR="005B16E7" w:rsidRPr="007C2A28" w:rsidRDefault="005B16E7" w:rsidP="005440C7">
      <w:pPr>
        <w:spacing w:line="276" w:lineRule="auto"/>
        <w:jc w:val="both"/>
        <w:rPr>
          <w:sz w:val="24"/>
          <w:szCs w:val="24"/>
          <w:lang w:val="en-US"/>
        </w:rPr>
      </w:pPr>
      <w:proofErr w:type="spellStart"/>
      <w:r w:rsidRPr="007C2A28">
        <w:rPr>
          <w:sz w:val="24"/>
          <w:szCs w:val="24"/>
        </w:rPr>
        <w:t>Pelliccione</w:t>
      </w:r>
      <w:proofErr w:type="spellEnd"/>
      <w:r w:rsidRPr="007C2A28">
        <w:rPr>
          <w:sz w:val="24"/>
          <w:szCs w:val="24"/>
        </w:rPr>
        <w:t xml:space="preserve">, A., S; Moraes, M. F.; Galvão, J. L. R.; Mello, L. A.; Silva, E. S. “Análise de Falhas em Equipamentos de Processo: Mecanismos de Danos e Casos Práticos”. </w:t>
      </w:r>
      <w:r w:rsidRPr="007C2A28">
        <w:rPr>
          <w:sz w:val="24"/>
          <w:szCs w:val="24"/>
          <w:lang w:val="en-US"/>
        </w:rPr>
        <w:t xml:space="preserve">Rio de Janeiro: Ed. </w:t>
      </w:r>
      <w:proofErr w:type="spellStart"/>
      <w:r w:rsidRPr="007C2A28">
        <w:rPr>
          <w:sz w:val="24"/>
          <w:szCs w:val="24"/>
          <w:lang w:val="en-US"/>
        </w:rPr>
        <w:t>Interciência</w:t>
      </w:r>
      <w:proofErr w:type="spellEnd"/>
      <w:r w:rsidRPr="007C2A28">
        <w:rPr>
          <w:sz w:val="24"/>
          <w:szCs w:val="24"/>
          <w:lang w:val="en-US"/>
        </w:rPr>
        <w:t xml:space="preserve">, 2012.                     </w:t>
      </w:r>
    </w:p>
    <w:p w14:paraId="4F6D6398" w14:textId="77777777" w:rsidR="005B16E7" w:rsidRPr="007C2A28" w:rsidRDefault="005B16E7" w:rsidP="005440C7">
      <w:pPr>
        <w:spacing w:line="276" w:lineRule="auto"/>
        <w:jc w:val="both"/>
        <w:rPr>
          <w:sz w:val="24"/>
          <w:szCs w:val="24"/>
          <w:lang w:val="en-US"/>
        </w:rPr>
      </w:pPr>
      <w:r w:rsidRPr="007C2A28">
        <w:rPr>
          <w:sz w:val="24"/>
          <w:szCs w:val="24"/>
          <w:lang w:val="en-US"/>
        </w:rPr>
        <w:t xml:space="preserve">P </w:t>
      </w:r>
      <w:proofErr w:type="spellStart"/>
      <w:r w:rsidRPr="007C2A28">
        <w:rPr>
          <w:sz w:val="24"/>
          <w:szCs w:val="24"/>
          <w:lang w:val="en-US"/>
        </w:rPr>
        <w:t>Che</w:t>
      </w:r>
      <w:proofErr w:type="spellEnd"/>
      <w:r w:rsidRPr="007C2A28">
        <w:rPr>
          <w:sz w:val="24"/>
          <w:szCs w:val="24"/>
          <w:lang w:val="en-US"/>
        </w:rPr>
        <w:t xml:space="preserve">-sheng </w:t>
      </w:r>
      <w:proofErr w:type="spellStart"/>
      <w:r w:rsidRPr="007C2A28">
        <w:rPr>
          <w:sz w:val="24"/>
          <w:szCs w:val="24"/>
          <w:lang w:val="en-US"/>
        </w:rPr>
        <w:t>chen</w:t>
      </w:r>
      <w:proofErr w:type="spellEnd"/>
      <w:r w:rsidRPr="007C2A28">
        <w:rPr>
          <w:sz w:val="24"/>
          <w:szCs w:val="24"/>
          <w:lang w:val="en-US"/>
        </w:rPr>
        <w:t xml:space="preserve">, T Shinohara and S </w:t>
      </w:r>
      <w:proofErr w:type="spellStart"/>
      <w:r w:rsidRPr="007C2A28">
        <w:rPr>
          <w:sz w:val="24"/>
          <w:szCs w:val="24"/>
          <w:lang w:val="en-US"/>
        </w:rPr>
        <w:t>Tsujikawa</w:t>
      </w:r>
      <w:proofErr w:type="spellEnd"/>
      <w:r w:rsidRPr="007C2A28">
        <w:rPr>
          <w:sz w:val="24"/>
          <w:szCs w:val="24"/>
          <w:lang w:val="en-US"/>
        </w:rPr>
        <w:t xml:space="preserve">, “Applicability of the Competition Concept in Determining the Stress Corrosion Cracking </w:t>
      </w:r>
      <w:proofErr w:type="spellStart"/>
      <w:r w:rsidRPr="007C2A28">
        <w:rPr>
          <w:sz w:val="24"/>
          <w:szCs w:val="24"/>
          <w:lang w:val="en-US"/>
        </w:rPr>
        <w:t>Behaviour</w:t>
      </w:r>
      <w:proofErr w:type="spellEnd"/>
      <w:r w:rsidRPr="007C2A28">
        <w:rPr>
          <w:sz w:val="24"/>
          <w:szCs w:val="24"/>
          <w:lang w:val="en-US"/>
        </w:rPr>
        <w:t xml:space="preserve"> of Austenitic Stainless Steels in Chloride Solutions”, </w:t>
      </w:r>
      <w:proofErr w:type="spellStart"/>
      <w:r w:rsidRPr="007C2A28">
        <w:rPr>
          <w:sz w:val="24"/>
          <w:szCs w:val="24"/>
          <w:lang w:val="en-US"/>
        </w:rPr>
        <w:t>Zairyo</w:t>
      </w:r>
      <w:proofErr w:type="spellEnd"/>
      <w:r w:rsidRPr="007C2A28">
        <w:rPr>
          <w:sz w:val="24"/>
          <w:szCs w:val="24"/>
          <w:lang w:val="en-US"/>
        </w:rPr>
        <w:t>-to-</w:t>
      </w:r>
      <w:proofErr w:type="spellStart"/>
      <w:r w:rsidRPr="007C2A28">
        <w:rPr>
          <w:sz w:val="24"/>
          <w:szCs w:val="24"/>
          <w:lang w:val="en-US"/>
        </w:rPr>
        <w:t>Kankyo</w:t>
      </w:r>
      <w:proofErr w:type="spellEnd"/>
      <w:r w:rsidRPr="007C2A28">
        <w:rPr>
          <w:sz w:val="24"/>
          <w:szCs w:val="24"/>
          <w:lang w:val="en-US"/>
        </w:rPr>
        <w:t>, 46, 3113-320, 1997.</w:t>
      </w:r>
    </w:p>
    <w:p w14:paraId="32929789" w14:textId="77777777" w:rsidR="005B16E7" w:rsidRPr="007C2A28" w:rsidRDefault="005B16E7" w:rsidP="005440C7">
      <w:pPr>
        <w:spacing w:line="276" w:lineRule="auto"/>
        <w:jc w:val="both"/>
        <w:rPr>
          <w:sz w:val="24"/>
          <w:szCs w:val="24"/>
          <w:lang w:val="en-US"/>
        </w:rPr>
      </w:pPr>
      <w:r w:rsidRPr="007C2A28">
        <w:rPr>
          <w:sz w:val="24"/>
          <w:szCs w:val="24"/>
          <w:lang w:val="en-US"/>
        </w:rPr>
        <w:t xml:space="preserve">R Parrot and H Pitts, “Chloride Stress Corrosion Cracking in Austenitic Stainless Steel- Assessing Susceptibility and </w:t>
      </w:r>
      <w:proofErr w:type="spellStart"/>
      <w:r w:rsidRPr="007C2A28">
        <w:rPr>
          <w:sz w:val="24"/>
          <w:szCs w:val="24"/>
          <w:lang w:val="en-US"/>
        </w:rPr>
        <w:t>Strutural</w:t>
      </w:r>
      <w:proofErr w:type="spellEnd"/>
      <w:r w:rsidRPr="007C2A28">
        <w:rPr>
          <w:sz w:val="24"/>
          <w:szCs w:val="24"/>
          <w:lang w:val="en-US"/>
        </w:rPr>
        <w:t xml:space="preserve"> Integrity”- Health and Safety Executive (HSE), 2011.            </w:t>
      </w:r>
    </w:p>
    <w:p w14:paraId="3CCC2A07" w14:textId="77777777" w:rsidR="005B16E7" w:rsidRPr="007C2A28" w:rsidRDefault="005B16E7" w:rsidP="005440C7">
      <w:pPr>
        <w:spacing w:line="276" w:lineRule="auto"/>
        <w:jc w:val="both"/>
        <w:rPr>
          <w:sz w:val="24"/>
          <w:szCs w:val="24"/>
        </w:rPr>
      </w:pPr>
      <w:proofErr w:type="spellStart"/>
      <w:r w:rsidRPr="007C2A28">
        <w:rPr>
          <w:sz w:val="24"/>
          <w:szCs w:val="24"/>
        </w:rPr>
        <w:t>Reigado</w:t>
      </w:r>
      <w:proofErr w:type="spellEnd"/>
      <w:r w:rsidRPr="007C2A28">
        <w:rPr>
          <w:sz w:val="24"/>
          <w:szCs w:val="24"/>
        </w:rPr>
        <w:t xml:space="preserve">, C. B. </w:t>
      </w:r>
      <w:proofErr w:type="spellStart"/>
      <w:r w:rsidRPr="007C2A28">
        <w:rPr>
          <w:sz w:val="24"/>
          <w:szCs w:val="24"/>
        </w:rPr>
        <w:t>Keppel</w:t>
      </w:r>
      <w:proofErr w:type="spellEnd"/>
      <w:r w:rsidRPr="007C2A28">
        <w:rPr>
          <w:sz w:val="24"/>
          <w:szCs w:val="24"/>
        </w:rPr>
        <w:t xml:space="preserve"> FELS Brasil. I-DE-3010.92-1251-943-DGR-001_D – </w:t>
      </w:r>
      <w:proofErr w:type="spellStart"/>
      <w:r w:rsidRPr="007C2A28">
        <w:rPr>
          <w:sz w:val="24"/>
          <w:szCs w:val="24"/>
        </w:rPr>
        <w:t>Sulphate</w:t>
      </w:r>
      <w:proofErr w:type="spellEnd"/>
      <w:r w:rsidRPr="007C2A28">
        <w:rPr>
          <w:sz w:val="24"/>
          <w:szCs w:val="24"/>
        </w:rPr>
        <w:t xml:space="preserve"> </w:t>
      </w:r>
      <w:proofErr w:type="spellStart"/>
      <w:r w:rsidRPr="007C2A28">
        <w:rPr>
          <w:sz w:val="24"/>
          <w:szCs w:val="24"/>
        </w:rPr>
        <w:t>Removal</w:t>
      </w:r>
      <w:proofErr w:type="spellEnd"/>
      <w:r w:rsidRPr="007C2A28">
        <w:rPr>
          <w:sz w:val="24"/>
          <w:szCs w:val="24"/>
        </w:rPr>
        <w:t xml:space="preserve"> Unit-1251001 </w:t>
      </w:r>
      <w:proofErr w:type="spellStart"/>
      <w:r w:rsidRPr="007C2A28">
        <w:rPr>
          <w:sz w:val="24"/>
          <w:szCs w:val="24"/>
        </w:rPr>
        <w:t>Process</w:t>
      </w:r>
      <w:proofErr w:type="spellEnd"/>
      <w:r w:rsidRPr="007C2A28">
        <w:rPr>
          <w:sz w:val="24"/>
          <w:szCs w:val="24"/>
        </w:rPr>
        <w:t xml:space="preserve"> </w:t>
      </w:r>
      <w:proofErr w:type="spellStart"/>
      <w:r w:rsidRPr="007C2A28">
        <w:rPr>
          <w:sz w:val="24"/>
          <w:szCs w:val="24"/>
        </w:rPr>
        <w:t>Flow</w:t>
      </w:r>
      <w:proofErr w:type="spellEnd"/>
      <w:r w:rsidRPr="007C2A28">
        <w:rPr>
          <w:sz w:val="24"/>
          <w:szCs w:val="24"/>
        </w:rPr>
        <w:t xml:space="preserve"> </w:t>
      </w:r>
      <w:proofErr w:type="spellStart"/>
      <w:r w:rsidRPr="007C2A28">
        <w:rPr>
          <w:sz w:val="24"/>
          <w:szCs w:val="24"/>
        </w:rPr>
        <w:t>Diagram</w:t>
      </w:r>
      <w:proofErr w:type="spellEnd"/>
      <w:r w:rsidRPr="007C2A28">
        <w:rPr>
          <w:sz w:val="24"/>
          <w:szCs w:val="24"/>
        </w:rPr>
        <w:t>. Rev. D, 2012.</w:t>
      </w:r>
    </w:p>
    <w:p w14:paraId="7F751E6A" w14:textId="77777777" w:rsidR="005B16E7" w:rsidRPr="007C2A28" w:rsidRDefault="005B16E7" w:rsidP="005440C7">
      <w:pPr>
        <w:spacing w:line="276" w:lineRule="auto"/>
        <w:jc w:val="both"/>
        <w:rPr>
          <w:sz w:val="24"/>
          <w:szCs w:val="24"/>
        </w:rPr>
      </w:pPr>
      <w:proofErr w:type="spellStart"/>
      <w:r w:rsidRPr="007C2A28">
        <w:rPr>
          <w:sz w:val="24"/>
          <w:szCs w:val="24"/>
        </w:rPr>
        <w:t>Reigado</w:t>
      </w:r>
      <w:proofErr w:type="spellEnd"/>
      <w:r w:rsidRPr="007C2A28">
        <w:rPr>
          <w:sz w:val="24"/>
          <w:szCs w:val="24"/>
        </w:rPr>
        <w:t xml:space="preserve">, C. B. (2013a). </w:t>
      </w:r>
      <w:proofErr w:type="spellStart"/>
      <w:r w:rsidRPr="007C2A28">
        <w:rPr>
          <w:sz w:val="24"/>
          <w:szCs w:val="24"/>
        </w:rPr>
        <w:t>Keppel</w:t>
      </w:r>
      <w:proofErr w:type="spellEnd"/>
      <w:r w:rsidRPr="007C2A28">
        <w:rPr>
          <w:sz w:val="24"/>
          <w:szCs w:val="24"/>
        </w:rPr>
        <w:t xml:space="preserve"> FELS Brasil. I-DE-3010.92-1251-511-DGR-001_C–TQ-UT-1251001-01A/B– Dimensional </w:t>
      </w:r>
      <w:proofErr w:type="spellStart"/>
      <w:r w:rsidRPr="007C2A28">
        <w:rPr>
          <w:sz w:val="24"/>
          <w:szCs w:val="24"/>
        </w:rPr>
        <w:t>Drawing</w:t>
      </w:r>
      <w:proofErr w:type="spellEnd"/>
      <w:r w:rsidRPr="007C2A28">
        <w:rPr>
          <w:sz w:val="24"/>
          <w:szCs w:val="24"/>
        </w:rPr>
        <w:t xml:space="preserve"> – CIP </w:t>
      </w:r>
      <w:proofErr w:type="spellStart"/>
      <w:r w:rsidRPr="007C2A28">
        <w:rPr>
          <w:sz w:val="24"/>
          <w:szCs w:val="24"/>
        </w:rPr>
        <w:t>Tanks</w:t>
      </w:r>
      <w:proofErr w:type="spellEnd"/>
      <w:r w:rsidRPr="007C2A28">
        <w:rPr>
          <w:sz w:val="24"/>
          <w:szCs w:val="24"/>
        </w:rPr>
        <w:t xml:space="preserve"> – Module 11. Ver. C, 2013.</w:t>
      </w:r>
    </w:p>
    <w:p w14:paraId="4B1CBA79" w14:textId="77777777" w:rsidR="005B16E7" w:rsidRPr="007C2A28" w:rsidRDefault="005B16E7" w:rsidP="005440C7">
      <w:pPr>
        <w:spacing w:line="276" w:lineRule="auto"/>
        <w:jc w:val="both"/>
        <w:rPr>
          <w:sz w:val="24"/>
          <w:szCs w:val="24"/>
        </w:rPr>
      </w:pPr>
      <w:proofErr w:type="spellStart"/>
      <w:r w:rsidRPr="007C2A28">
        <w:rPr>
          <w:sz w:val="24"/>
          <w:szCs w:val="24"/>
        </w:rPr>
        <w:t>Reigado</w:t>
      </w:r>
      <w:proofErr w:type="spellEnd"/>
      <w:r w:rsidRPr="007C2A28">
        <w:rPr>
          <w:sz w:val="24"/>
          <w:szCs w:val="24"/>
        </w:rPr>
        <w:t xml:space="preserve">, C. B. (2013b). </w:t>
      </w:r>
      <w:proofErr w:type="spellStart"/>
      <w:r w:rsidRPr="007C2A28">
        <w:rPr>
          <w:sz w:val="24"/>
          <w:szCs w:val="24"/>
        </w:rPr>
        <w:t>Keppel</w:t>
      </w:r>
      <w:proofErr w:type="spellEnd"/>
      <w:r w:rsidRPr="007C2A28">
        <w:rPr>
          <w:sz w:val="24"/>
          <w:szCs w:val="24"/>
        </w:rPr>
        <w:t xml:space="preserve"> FELS Brasil. I-DE-3010.92-1251-450-DGR-001_C–AQ-UT-1251001-01/02/03A/B – </w:t>
      </w:r>
      <w:proofErr w:type="spellStart"/>
      <w:r w:rsidRPr="007C2A28">
        <w:rPr>
          <w:sz w:val="24"/>
          <w:szCs w:val="24"/>
        </w:rPr>
        <w:t>Heater</w:t>
      </w:r>
      <w:proofErr w:type="spellEnd"/>
      <w:r w:rsidRPr="007C2A28">
        <w:rPr>
          <w:sz w:val="24"/>
          <w:szCs w:val="24"/>
        </w:rPr>
        <w:t xml:space="preserve"> – General </w:t>
      </w:r>
      <w:proofErr w:type="spellStart"/>
      <w:r w:rsidRPr="007C2A28">
        <w:rPr>
          <w:sz w:val="24"/>
          <w:szCs w:val="24"/>
        </w:rPr>
        <w:t>Arrangement</w:t>
      </w:r>
      <w:proofErr w:type="spellEnd"/>
      <w:r w:rsidRPr="007C2A28">
        <w:rPr>
          <w:sz w:val="24"/>
          <w:szCs w:val="24"/>
        </w:rPr>
        <w:t xml:space="preserve"> </w:t>
      </w:r>
      <w:proofErr w:type="spellStart"/>
      <w:r w:rsidRPr="007C2A28">
        <w:rPr>
          <w:sz w:val="24"/>
          <w:szCs w:val="24"/>
        </w:rPr>
        <w:t>Drawing</w:t>
      </w:r>
      <w:proofErr w:type="spellEnd"/>
      <w:r w:rsidRPr="007C2A28">
        <w:rPr>
          <w:sz w:val="24"/>
          <w:szCs w:val="24"/>
        </w:rPr>
        <w:t xml:space="preserve"> – Module 11. Ver. C, 2013.</w:t>
      </w:r>
    </w:p>
    <w:p w14:paraId="282A9870" w14:textId="77777777" w:rsidR="005B16E7" w:rsidRPr="007C2A28" w:rsidRDefault="005B16E7" w:rsidP="005440C7">
      <w:pPr>
        <w:spacing w:line="276" w:lineRule="auto"/>
        <w:jc w:val="both"/>
        <w:rPr>
          <w:sz w:val="24"/>
          <w:szCs w:val="24"/>
          <w:lang w:val="en-US"/>
        </w:rPr>
      </w:pPr>
      <w:proofErr w:type="spellStart"/>
      <w:r w:rsidRPr="007C2A28">
        <w:rPr>
          <w:sz w:val="24"/>
          <w:szCs w:val="24"/>
        </w:rPr>
        <w:t>Reigado</w:t>
      </w:r>
      <w:proofErr w:type="spellEnd"/>
      <w:r w:rsidRPr="007C2A28">
        <w:rPr>
          <w:sz w:val="24"/>
          <w:szCs w:val="24"/>
        </w:rPr>
        <w:t xml:space="preserve">, C. B. (2013c). </w:t>
      </w:r>
      <w:proofErr w:type="spellStart"/>
      <w:r w:rsidRPr="007C2A28">
        <w:rPr>
          <w:sz w:val="24"/>
          <w:szCs w:val="24"/>
        </w:rPr>
        <w:t>Keppel</w:t>
      </w:r>
      <w:proofErr w:type="spellEnd"/>
      <w:r w:rsidRPr="007C2A28">
        <w:rPr>
          <w:sz w:val="24"/>
          <w:szCs w:val="24"/>
        </w:rPr>
        <w:t xml:space="preserve"> FELS Brasil. </w:t>
      </w:r>
      <w:r w:rsidRPr="00DB2A70">
        <w:rPr>
          <w:sz w:val="24"/>
          <w:szCs w:val="24"/>
          <w:lang w:val="en-US"/>
        </w:rPr>
        <w:t xml:space="preserve">I-DE-3010.92-1251-450-DGR-003_A–AQ-UT-1251001-01/02/03A/B – Heater - </w:t>
      </w:r>
      <w:proofErr w:type="spellStart"/>
      <w:r w:rsidRPr="00DB2A70">
        <w:rPr>
          <w:sz w:val="24"/>
          <w:szCs w:val="24"/>
          <w:lang w:val="en-US"/>
        </w:rPr>
        <w:t>Eletrical</w:t>
      </w:r>
      <w:proofErr w:type="spellEnd"/>
      <w:r w:rsidRPr="00DB2A70">
        <w:rPr>
          <w:sz w:val="24"/>
          <w:szCs w:val="24"/>
          <w:lang w:val="en-US"/>
        </w:rPr>
        <w:t xml:space="preserve"> </w:t>
      </w:r>
      <w:proofErr w:type="spellStart"/>
      <w:r w:rsidRPr="00DB2A70">
        <w:rPr>
          <w:sz w:val="24"/>
          <w:szCs w:val="24"/>
          <w:lang w:val="en-US"/>
        </w:rPr>
        <w:t>Resistence</w:t>
      </w:r>
      <w:proofErr w:type="spellEnd"/>
      <w:r w:rsidRPr="00DB2A70">
        <w:rPr>
          <w:sz w:val="24"/>
          <w:szCs w:val="24"/>
          <w:lang w:val="en-US"/>
        </w:rPr>
        <w:t xml:space="preserve"> Drawing – Module 11. </w:t>
      </w:r>
      <w:r w:rsidRPr="007C2A28">
        <w:rPr>
          <w:sz w:val="24"/>
          <w:szCs w:val="24"/>
          <w:lang w:val="en-US"/>
        </w:rPr>
        <w:t>Ver. A, 2013.</w:t>
      </w:r>
    </w:p>
    <w:p w14:paraId="0526CA6C" w14:textId="77777777" w:rsidR="005B16E7" w:rsidRPr="007C2A28" w:rsidRDefault="005B16E7" w:rsidP="005440C7">
      <w:pPr>
        <w:spacing w:line="276" w:lineRule="auto"/>
        <w:jc w:val="both"/>
        <w:rPr>
          <w:sz w:val="24"/>
          <w:szCs w:val="24"/>
        </w:rPr>
      </w:pPr>
      <w:r w:rsidRPr="007C2A28">
        <w:rPr>
          <w:sz w:val="24"/>
          <w:szCs w:val="24"/>
          <w:lang w:val="en-US"/>
        </w:rPr>
        <w:t>Shibata, Toshio. “</w:t>
      </w:r>
      <w:proofErr w:type="spellStart"/>
      <w:r w:rsidRPr="007C2A28">
        <w:rPr>
          <w:sz w:val="24"/>
          <w:szCs w:val="24"/>
          <w:lang w:val="en-US"/>
        </w:rPr>
        <w:t>Passavity</w:t>
      </w:r>
      <w:proofErr w:type="spellEnd"/>
      <w:r w:rsidRPr="007C2A28">
        <w:rPr>
          <w:sz w:val="24"/>
          <w:szCs w:val="24"/>
          <w:lang w:val="en-US"/>
        </w:rPr>
        <w:t xml:space="preserve"> breakdown and stress corrosion cracking of stainless steel. </w:t>
      </w:r>
      <w:proofErr w:type="spellStart"/>
      <w:r w:rsidRPr="007C2A28">
        <w:rPr>
          <w:sz w:val="24"/>
          <w:szCs w:val="24"/>
        </w:rPr>
        <w:t>Corrosion</w:t>
      </w:r>
      <w:proofErr w:type="spellEnd"/>
      <w:r w:rsidRPr="007C2A28">
        <w:rPr>
          <w:sz w:val="24"/>
          <w:szCs w:val="24"/>
        </w:rPr>
        <w:t xml:space="preserve"> Science”, pp 20-30, 2007.</w:t>
      </w:r>
    </w:p>
    <w:p w14:paraId="3C303A85" w14:textId="77777777" w:rsidR="005B16E7" w:rsidRPr="007C2A28" w:rsidRDefault="005B16E7" w:rsidP="005440C7">
      <w:pPr>
        <w:spacing w:line="276" w:lineRule="auto"/>
        <w:jc w:val="both"/>
        <w:rPr>
          <w:sz w:val="24"/>
          <w:szCs w:val="24"/>
        </w:rPr>
      </w:pPr>
      <w:r w:rsidRPr="007C2A28">
        <w:rPr>
          <w:sz w:val="24"/>
          <w:szCs w:val="24"/>
        </w:rPr>
        <w:t xml:space="preserve">Silva, A. L. e </w:t>
      </w:r>
      <w:proofErr w:type="spellStart"/>
      <w:r w:rsidRPr="007C2A28">
        <w:rPr>
          <w:sz w:val="24"/>
          <w:szCs w:val="24"/>
        </w:rPr>
        <w:t>Mei</w:t>
      </w:r>
      <w:proofErr w:type="spellEnd"/>
      <w:r w:rsidRPr="007C2A28">
        <w:rPr>
          <w:sz w:val="24"/>
          <w:szCs w:val="24"/>
        </w:rPr>
        <w:t xml:space="preserve">, P. R., “Aços e Ligas Especiais”, 3. Ed. São Paulo, Edgard </w:t>
      </w:r>
      <w:proofErr w:type="spellStart"/>
      <w:r w:rsidRPr="007C2A28">
        <w:rPr>
          <w:sz w:val="24"/>
          <w:szCs w:val="24"/>
        </w:rPr>
        <w:t>Blucher</w:t>
      </w:r>
      <w:proofErr w:type="spellEnd"/>
      <w:r w:rsidRPr="007C2A28">
        <w:rPr>
          <w:sz w:val="24"/>
          <w:szCs w:val="24"/>
        </w:rPr>
        <w:t>, 2010.</w:t>
      </w:r>
    </w:p>
    <w:p w14:paraId="2141DD61" w14:textId="77777777" w:rsidR="005B16E7" w:rsidRPr="007C2A28" w:rsidRDefault="005B16E7" w:rsidP="005440C7">
      <w:pPr>
        <w:spacing w:line="276" w:lineRule="auto"/>
        <w:jc w:val="both"/>
        <w:rPr>
          <w:sz w:val="24"/>
          <w:szCs w:val="24"/>
        </w:rPr>
      </w:pPr>
      <w:r w:rsidRPr="007C2A28">
        <w:rPr>
          <w:sz w:val="24"/>
          <w:szCs w:val="24"/>
        </w:rPr>
        <w:t xml:space="preserve">Telles, P. C. S. “Materiais para equipamentos de processo”. 6. Ed. – Rio de Janeiro; </w:t>
      </w:r>
      <w:proofErr w:type="spellStart"/>
      <w:r w:rsidRPr="007C2A28">
        <w:rPr>
          <w:sz w:val="24"/>
          <w:szCs w:val="24"/>
        </w:rPr>
        <w:t>Interciência</w:t>
      </w:r>
      <w:proofErr w:type="spellEnd"/>
      <w:r w:rsidRPr="007C2A28">
        <w:rPr>
          <w:sz w:val="24"/>
          <w:szCs w:val="24"/>
        </w:rPr>
        <w:t>, 2003.</w:t>
      </w:r>
    </w:p>
    <w:p w14:paraId="1844FFEA" w14:textId="76D69CA4" w:rsidR="00C62217" w:rsidRPr="007C2A28" w:rsidRDefault="005B16E7" w:rsidP="005440C7">
      <w:pPr>
        <w:spacing w:line="276" w:lineRule="auto"/>
        <w:jc w:val="both"/>
        <w:rPr>
          <w:sz w:val="24"/>
          <w:szCs w:val="24"/>
          <w:highlight w:val="white"/>
          <w:lang w:val="en-US"/>
        </w:rPr>
      </w:pPr>
      <w:proofErr w:type="spellStart"/>
      <w:r w:rsidRPr="007C2A28">
        <w:rPr>
          <w:sz w:val="24"/>
          <w:szCs w:val="24"/>
          <w:lang w:val="en-US"/>
        </w:rPr>
        <w:lastRenderedPageBreak/>
        <w:t>Vimal</w:t>
      </w:r>
      <w:proofErr w:type="spellEnd"/>
      <w:r w:rsidRPr="007C2A28">
        <w:rPr>
          <w:sz w:val="24"/>
          <w:szCs w:val="24"/>
          <w:lang w:val="en-US"/>
        </w:rPr>
        <w:t xml:space="preserve"> H Desai “Mechanistic Differences in Transgranular and Intergranular Cracking of Austenitic Stainless Steels”, Paper n° 192, Corrosion 97, NACE.</w:t>
      </w:r>
    </w:p>
    <w:sectPr w:rsidR="00C62217" w:rsidRPr="007C2A28" w:rsidSect="00693735">
      <w:headerReference w:type="default" r:id="rId28"/>
      <w:footerReference w:type="default" r:id="rId29"/>
      <w:pgSz w:w="11910" w:h="16850"/>
      <w:pgMar w:top="1418" w:right="1418" w:bottom="1418" w:left="1418" w:header="0" w:footer="595"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8EB61B" w14:textId="77777777" w:rsidR="00EA7E16" w:rsidRDefault="00EA7E16" w:rsidP="00C62217">
      <w:r>
        <w:separator/>
      </w:r>
    </w:p>
  </w:endnote>
  <w:endnote w:type="continuationSeparator" w:id="0">
    <w:p w14:paraId="12BE4D86" w14:textId="77777777" w:rsidR="00EA7E16" w:rsidRDefault="00EA7E16" w:rsidP="00C622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60752976"/>
      <w:docPartObj>
        <w:docPartGallery w:val="Page Numbers (Bottom of Page)"/>
        <w:docPartUnique/>
      </w:docPartObj>
    </w:sdtPr>
    <w:sdtEndPr/>
    <w:sdtContent>
      <w:p w14:paraId="1844FFF3" w14:textId="454CE80C" w:rsidR="00E2339E" w:rsidRDefault="00011071">
        <w:pPr>
          <w:pStyle w:val="Rodap"/>
          <w:jc w:val="right"/>
        </w:pPr>
        <w:r>
          <w:fldChar w:fldCharType="begin"/>
        </w:r>
        <w:r>
          <w:instrText xml:space="preserve"> PAGE   \* MERGEFORMAT </w:instrText>
        </w:r>
        <w:r>
          <w:fldChar w:fldCharType="separate"/>
        </w:r>
        <w:r w:rsidR="008C79A1">
          <w:rPr>
            <w:noProof/>
          </w:rPr>
          <w:t>15</w:t>
        </w:r>
        <w:r>
          <w:rPr>
            <w:noProof/>
          </w:rPr>
          <w:fldChar w:fldCharType="end"/>
        </w:r>
      </w:p>
    </w:sdtContent>
  </w:sdt>
  <w:p w14:paraId="1844FFF4" w14:textId="77777777" w:rsidR="00C62217" w:rsidRDefault="00C62217">
    <w:pPr>
      <w:pBdr>
        <w:top w:val="nil"/>
        <w:left w:val="nil"/>
        <w:bottom w:val="nil"/>
        <w:right w:val="nil"/>
        <w:between w:val="nil"/>
      </w:pBdr>
      <w:spacing w:line="14" w:lineRule="auto"/>
      <w:rPr>
        <w:color w:val="00000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EEF6B2" w14:textId="77777777" w:rsidR="00EA7E16" w:rsidRDefault="00EA7E16" w:rsidP="00C62217">
      <w:r>
        <w:separator/>
      </w:r>
    </w:p>
  </w:footnote>
  <w:footnote w:type="continuationSeparator" w:id="0">
    <w:p w14:paraId="3329A8B0" w14:textId="77777777" w:rsidR="00EA7E16" w:rsidRDefault="00EA7E16" w:rsidP="00C6221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CD9DA0" w14:textId="4084BAA0" w:rsidR="00B05F12" w:rsidRDefault="00B05F12">
    <w:pPr>
      <w:pStyle w:val="Cabealho"/>
    </w:pPr>
    <w:r>
      <w:rPr>
        <w:noProof/>
      </w:rPr>
      <w:drawing>
        <wp:anchor distT="0" distB="0" distL="114300" distR="114300" simplePos="0" relativeHeight="251659264" behindDoc="0" locked="1" layoutInCell="1" allowOverlap="1" wp14:anchorId="3EF85E9F" wp14:editId="2E6065DD">
          <wp:simplePos x="0" y="0"/>
          <wp:positionH relativeFrom="margin">
            <wp:align>center</wp:align>
          </wp:positionH>
          <wp:positionV relativeFrom="paragraph">
            <wp:posOffset>0</wp:posOffset>
          </wp:positionV>
          <wp:extent cx="7543800" cy="1082040"/>
          <wp:effectExtent l="0" t="0" r="0" b="3810"/>
          <wp:wrapSquare wrapText="bothSides"/>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43800" cy="108204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C370F0"/>
    <w:multiLevelType w:val="hybridMultilevel"/>
    <w:tmpl w:val="C5DE51F2"/>
    <w:lvl w:ilvl="0" w:tplc="E932D012">
      <w:start w:val="1"/>
      <w:numFmt w:val="lowerLetter"/>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 w15:restartNumberingAfterBreak="0">
    <w:nsid w:val="26EA1AAD"/>
    <w:multiLevelType w:val="hybridMultilevel"/>
    <w:tmpl w:val="52087F00"/>
    <w:lvl w:ilvl="0" w:tplc="B058BC0A">
      <w:start w:val="1"/>
      <w:numFmt w:val="lowerLetter"/>
      <w:lvlText w:val="(%1)"/>
      <w:lvlJc w:val="left"/>
      <w:pPr>
        <w:ind w:left="700" w:hanging="360"/>
      </w:pPr>
      <w:rPr>
        <w:rFonts w:hint="default"/>
      </w:rPr>
    </w:lvl>
    <w:lvl w:ilvl="1" w:tplc="04160019" w:tentative="1">
      <w:start w:val="1"/>
      <w:numFmt w:val="lowerLetter"/>
      <w:lvlText w:val="%2."/>
      <w:lvlJc w:val="left"/>
      <w:pPr>
        <w:ind w:left="1420" w:hanging="360"/>
      </w:pPr>
    </w:lvl>
    <w:lvl w:ilvl="2" w:tplc="0416001B" w:tentative="1">
      <w:start w:val="1"/>
      <w:numFmt w:val="lowerRoman"/>
      <w:lvlText w:val="%3."/>
      <w:lvlJc w:val="right"/>
      <w:pPr>
        <w:ind w:left="2140" w:hanging="180"/>
      </w:pPr>
    </w:lvl>
    <w:lvl w:ilvl="3" w:tplc="0416000F" w:tentative="1">
      <w:start w:val="1"/>
      <w:numFmt w:val="decimal"/>
      <w:lvlText w:val="%4."/>
      <w:lvlJc w:val="left"/>
      <w:pPr>
        <w:ind w:left="2860" w:hanging="360"/>
      </w:pPr>
    </w:lvl>
    <w:lvl w:ilvl="4" w:tplc="04160019" w:tentative="1">
      <w:start w:val="1"/>
      <w:numFmt w:val="lowerLetter"/>
      <w:lvlText w:val="%5."/>
      <w:lvlJc w:val="left"/>
      <w:pPr>
        <w:ind w:left="3580" w:hanging="360"/>
      </w:pPr>
    </w:lvl>
    <w:lvl w:ilvl="5" w:tplc="0416001B" w:tentative="1">
      <w:start w:val="1"/>
      <w:numFmt w:val="lowerRoman"/>
      <w:lvlText w:val="%6."/>
      <w:lvlJc w:val="right"/>
      <w:pPr>
        <w:ind w:left="4300" w:hanging="180"/>
      </w:pPr>
    </w:lvl>
    <w:lvl w:ilvl="6" w:tplc="0416000F" w:tentative="1">
      <w:start w:val="1"/>
      <w:numFmt w:val="decimal"/>
      <w:lvlText w:val="%7."/>
      <w:lvlJc w:val="left"/>
      <w:pPr>
        <w:ind w:left="5020" w:hanging="360"/>
      </w:pPr>
    </w:lvl>
    <w:lvl w:ilvl="7" w:tplc="04160019" w:tentative="1">
      <w:start w:val="1"/>
      <w:numFmt w:val="lowerLetter"/>
      <w:lvlText w:val="%8."/>
      <w:lvlJc w:val="left"/>
      <w:pPr>
        <w:ind w:left="5740" w:hanging="360"/>
      </w:pPr>
    </w:lvl>
    <w:lvl w:ilvl="8" w:tplc="0416001B" w:tentative="1">
      <w:start w:val="1"/>
      <w:numFmt w:val="lowerRoman"/>
      <w:lvlText w:val="%9."/>
      <w:lvlJc w:val="right"/>
      <w:pPr>
        <w:ind w:left="646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3"/>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2217"/>
    <w:rsid w:val="00011071"/>
    <w:rsid w:val="00041200"/>
    <w:rsid w:val="000A3AD2"/>
    <w:rsid w:val="000D747C"/>
    <w:rsid w:val="000F742A"/>
    <w:rsid w:val="0010631F"/>
    <w:rsid w:val="00143F92"/>
    <w:rsid w:val="001477A2"/>
    <w:rsid w:val="00163500"/>
    <w:rsid w:val="001C186F"/>
    <w:rsid w:val="00254C47"/>
    <w:rsid w:val="00277A85"/>
    <w:rsid w:val="00283B07"/>
    <w:rsid w:val="00283CED"/>
    <w:rsid w:val="002C71D3"/>
    <w:rsid w:val="002E0D11"/>
    <w:rsid w:val="002E3F23"/>
    <w:rsid w:val="002F30D2"/>
    <w:rsid w:val="00353C30"/>
    <w:rsid w:val="00374FB3"/>
    <w:rsid w:val="003A2AF7"/>
    <w:rsid w:val="00420FD4"/>
    <w:rsid w:val="00444A44"/>
    <w:rsid w:val="0046719B"/>
    <w:rsid w:val="004822C2"/>
    <w:rsid w:val="004B4D4D"/>
    <w:rsid w:val="00522C2A"/>
    <w:rsid w:val="00532B55"/>
    <w:rsid w:val="005440C7"/>
    <w:rsid w:val="00590457"/>
    <w:rsid w:val="005A11C1"/>
    <w:rsid w:val="005A6391"/>
    <w:rsid w:val="005B16E7"/>
    <w:rsid w:val="00606582"/>
    <w:rsid w:val="00632EED"/>
    <w:rsid w:val="00647509"/>
    <w:rsid w:val="00647E3C"/>
    <w:rsid w:val="00653B75"/>
    <w:rsid w:val="006555C7"/>
    <w:rsid w:val="006825E0"/>
    <w:rsid w:val="00693735"/>
    <w:rsid w:val="00697167"/>
    <w:rsid w:val="007347C0"/>
    <w:rsid w:val="0076140A"/>
    <w:rsid w:val="007942B3"/>
    <w:rsid w:val="007A2DAD"/>
    <w:rsid w:val="007C2A28"/>
    <w:rsid w:val="007D138E"/>
    <w:rsid w:val="007E0F75"/>
    <w:rsid w:val="007E7565"/>
    <w:rsid w:val="00820221"/>
    <w:rsid w:val="00820AB6"/>
    <w:rsid w:val="0085402A"/>
    <w:rsid w:val="008C79A1"/>
    <w:rsid w:val="008E63AC"/>
    <w:rsid w:val="008E7277"/>
    <w:rsid w:val="00903F81"/>
    <w:rsid w:val="00920D92"/>
    <w:rsid w:val="009246B8"/>
    <w:rsid w:val="00952DCE"/>
    <w:rsid w:val="009A0BDA"/>
    <w:rsid w:val="009E76E6"/>
    <w:rsid w:val="009F079C"/>
    <w:rsid w:val="00A0673F"/>
    <w:rsid w:val="00A12976"/>
    <w:rsid w:val="00AD7826"/>
    <w:rsid w:val="00B05F12"/>
    <w:rsid w:val="00B207EE"/>
    <w:rsid w:val="00BA32C3"/>
    <w:rsid w:val="00BA5439"/>
    <w:rsid w:val="00C001DD"/>
    <w:rsid w:val="00C4097E"/>
    <w:rsid w:val="00C62217"/>
    <w:rsid w:val="00C76E0B"/>
    <w:rsid w:val="00C9367F"/>
    <w:rsid w:val="00CA298D"/>
    <w:rsid w:val="00D30600"/>
    <w:rsid w:val="00D5292C"/>
    <w:rsid w:val="00D926DF"/>
    <w:rsid w:val="00DB2A70"/>
    <w:rsid w:val="00DC36A4"/>
    <w:rsid w:val="00E07B27"/>
    <w:rsid w:val="00E2339E"/>
    <w:rsid w:val="00E46B80"/>
    <w:rsid w:val="00EA7E16"/>
    <w:rsid w:val="00F01590"/>
    <w:rsid w:val="00F143E4"/>
    <w:rsid w:val="00F84B1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44FFBA"/>
  <w15:docId w15:val="{AAD7F924-D6F7-44F8-9B3C-126E87038D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pt-BR" w:eastAsia="pt-BR"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E5F5A"/>
  </w:style>
  <w:style w:type="paragraph" w:styleId="Ttulo1">
    <w:name w:val="heading 1"/>
    <w:basedOn w:val="Normal"/>
    <w:uiPriority w:val="1"/>
    <w:qFormat/>
    <w:rsid w:val="009E5F5A"/>
    <w:pPr>
      <w:ind w:left="133" w:right="123"/>
      <w:jc w:val="center"/>
      <w:outlineLvl w:val="0"/>
    </w:pPr>
    <w:rPr>
      <w:b/>
      <w:bCs/>
      <w:sz w:val="28"/>
      <w:szCs w:val="28"/>
    </w:rPr>
  </w:style>
  <w:style w:type="paragraph" w:styleId="Ttulo2">
    <w:name w:val="heading 2"/>
    <w:basedOn w:val="Normal"/>
    <w:uiPriority w:val="1"/>
    <w:qFormat/>
    <w:rsid w:val="009E5F5A"/>
    <w:pPr>
      <w:ind w:left="478" w:hanging="360"/>
      <w:outlineLvl w:val="1"/>
    </w:pPr>
    <w:rPr>
      <w:b/>
      <w:bCs/>
      <w:sz w:val="24"/>
      <w:szCs w:val="24"/>
    </w:rPr>
  </w:style>
  <w:style w:type="paragraph" w:styleId="Ttulo3">
    <w:name w:val="heading 3"/>
    <w:basedOn w:val="Normal1"/>
    <w:next w:val="Normal1"/>
    <w:rsid w:val="00C62217"/>
    <w:pPr>
      <w:keepNext/>
      <w:keepLines/>
      <w:spacing w:before="280" w:after="80"/>
      <w:outlineLvl w:val="2"/>
    </w:pPr>
    <w:rPr>
      <w:b/>
      <w:sz w:val="28"/>
      <w:szCs w:val="28"/>
    </w:rPr>
  </w:style>
  <w:style w:type="paragraph" w:styleId="Ttulo4">
    <w:name w:val="heading 4"/>
    <w:basedOn w:val="Normal1"/>
    <w:next w:val="Normal1"/>
    <w:rsid w:val="00C62217"/>
    <w:pPr>
      <w:keepNext/>
      <w:keepLines/>
      <w:spacing w:before="240" w:after="40"/>
      <w:outlineLvl w:val="3"/>
    </w:pPr>
    <w:rPr>
      <w:b/>
      <w:sz w:val="24"/>
      <w:szCs w:val="24"/>
    </w:rPr>
  </w:style>
  <w:style w:type="paragraph" w:styleId="Ttulo5">
    <w:name w:val="heading 5"/>
    <w:basedOn w:val="Normal1"/>
    <w:next w:val="Normal1"/>
    <w:rsid w:val="00C62217"/>
    <w:pPr>
      <w:keepNext/>
      <w:keepLines/>
      <w:spacing w:before="220" w:after="40"/>
      <w:outlineLvl w:val="4"/>
    </w:pPr>
    <w:rPr>
      <w:b/>
    </w:rPr>
  </w:style>
  <w:style w:type="paragraph" w:styleId="Ttulo6">
    <w:name w:val="heading 6"/>
    <w:basedOn w:val="Normal1"/>
    <w:next w:val="Normal1"/>
    <w:rsid w:val="00C62217"/>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rsid w:val="00C62217"/>
  </w:style>
  <w:style w:type="table" w:customStyle="1" w:styleId="TableNormal1">
    <w:name w:val="Table Normal1"/>
    <w:rsid w:val="00C62217"/>
    <w:tblPr>
      <w:tblCellMar>
        <w:top w:w="0" w:type="dxa"/>
        <w:left w:w="0" w:type="dxa"/>
        <w:bottom w:w="0" w:type="dxa"/>
        <w:right w:w="0" w:type="dxa"/>
      </w:tblCellMar>
    </w:tblPr>
  </w:style>
  <w:style w:type="paragraph" w:styleId="Ttulo">
    <w:name w:val="Title"/>
    <w:basedOn w:val="Normal1"/>
    <w:next w:val="Normal1"/>
    <w:rsid w:val="00C62217"/>
    <w:pPr>
      <w:keepNext/>
      <w:keepLines/>
      <w:spacing w:before="480" w:after="120"/>
    </w:pPr>
    <w:rPr>
      <w:b/>
      <w:sz w:val="72"/>
      <w:szCs w:val="72"/>
    </w:rPr>
  </w:style>
  <w:style w:type="table" w:customStyle="1" w:styleId="TableNormal2">
    <w:name w:val="Table Normal2"/>
    <w:uiPriority w:val="2"/>
    <w:semiHidden/>
    <w:unhideWhenUsed/>
    <w:qFormat/>
    <w:rsid w:val="009E5F5A"/>
    <w:tblPr>
      <w:tblInd w:w="0" w:type="dxa"/>
      <w:tblCellMar>
        <w:top w:w="0" w:type="dxa"/>
        <w:left w:w="0" w:type="dxa"/>
        <w:bottom w:w="0" w:type="dxa"/>
        <w:right w:w="0" w:type="dxa"/>
      </w:tblCellMar>
    </w:tblPr>
  </w:style>
  <w:style w:type="paragraph" w:styleId="Corpodetexto">
    <w:name w:val="Body Text"/>
    <w:basedOn w:val="Normal"/>
    <w:uiPriority w:val="1"/>
    <w:qFormat/>
    <w:rsid w:val="009E5F5A"/>
    <w:rPr>
      <w:sz w:val="24"/>
      <w:szCs w:val="24"/>
    </w:rPr>
  </w:style>
  <w:style w:type="paragraph" w:styleId="PargrafodaLista">
    <w:name w:val="List Paragraph"/>
    <w:basedOn w:val="Normal"/>
    <w:uiPriority w:val="1"/>
    <w:qFormat/>
    <w:rsid w:val="009E5F5A"/>
    <w:pPr>
      <w:ind w:left="478" w:hanging="360"/>
    </w:pPr>
  </w:style>
  <w:style w:type="paragraph" w:customStyle="1" w:styleId="TableParagraph">
    <w:name w:val="Table Paragraph"/>
    <w:basedOn w:val="Normal"/>
    <w:uiPriority w:val="1"/>
    <w:qFormat/>
    <w:rsid w:val="009E5F5A"/>
    <w:pPr>
      <w:spacing w:line="281" w:lineRule="exact"/>
      <w:jc w:val="center"/>
    </w:pPr>
    <w:rPr>
      <w:rFonts w:ascii="Bookman Old Style" w:eastAsia="Bookman Old Style" w:hAnsi="Bookman Old Style" w:cs="Bookman Old Style"/>
    </w:rPr>
  </w:style>
  <w:style w:type="paragraph" w:styleId="Cabealho">
    <w:name w:val="header"/>
    <w:basedOn w:val="Normal"/>
    <w:link w:val="CabealhoChar"/>
    <w:uiPriority w:val="99"/>
    <w:unhideWhenUsed/>
    <w:rsid w:val="000412C9"/>
    <w:pPr>
      <w:tabs>
        <w:tab w:val="center" w:pos="4252"/>
        <w:tab w:val="right" w:pos="8504"/>
      </w:tabs>
    </w:pPr>
  </w:style>
  <w:style w:type="character" w:customStyle="1" w:styleId="CabealhoChar">
    <w:name w:val="Cabeçalho Char"/>
    <w:basedOn w:val="Fontepargpadro"/>
    <w:link w:val="Cabealho"/>
    <w:uiPriority w:val="99"/>
    <w:rsid w:val="000412C9"/>
    <w:rPr>
      <w:rFonts w:ascii="Arial" w:eastAsia="Arial" w:hAnsi="Arial" w:cs="Arial"/>
    </w:rPr>
  </w:style>
  <w:style w:type="paragraph" w:styleId="Rodap">
    <w:name w:val="footer"/>
    <w:basedOn w:val="Normal"/>
    <w:link w:val="RodapChar"/>
    <w:uiPriority w:val="99"/>
    <w:unhideWhenUsed/>
    <w:rsid w:val="000412C9"/>
    <w:pPr>
      <w:tabs>
        <w:tab w:val="center" w:pos="4252"/>
        <w:tab w:val="right" w:pos="8504"/>
      </w:tabs>
    </w:pPr>
  </w:style>
  <w:style w:type="character" w:customStyle="1" w:styleId="RodapChar">
    <w:name w:val="Rodapé Char"/>
    <w:basedOn w:val="Fontepargpadro"/>
    <w:link w:val="Rodap"/>
    <w:uiPriority w:val="99"/>
    <w:rsid w:val="000412C9"/>
    <w:rPr>
      <w:rFonts w:ascii="Arial" w:eastAsia="Arial" w:hAnsi="Arial" w:cs="Arial"/>
    </w:rPr>
  </w:style>
  <w:style w:type="paragraph" w:styleId="Textodebalo">
    <w:name w:val="Balloon Text"/>
    <w:basedOn w:val="Normal"/>
    <w:link w:val="TextodebaloChar"/>
    <w:uiPriority w:val="99"/>
    <w:semiHidden/>
    <w:unhideWhenUsed/>
    <w:rsid w:val="00CF2155"/>
    <w:rPr>
      <w:rFonts w:ascii="Tahoma" w:hAnsi="Tahoma" w:cs="Tahoma"/>
      <w:sz w:val="16"/>
      <w:szCs w:val="16"/>
    </w:rPr>
  </w:style>
  <w:style w:type="character" w:customStyle="1" w:styleId="TextodebaloChar">
    <w:name w:val="Texto de balão Char"/>
    <w:basedOn w:val="Fontepargpadro"/>
    <w:link w:val="Textodebalo"/>
    <w:uiPriority w:val="99"/>
    <w:semiHidden/>
    <w:rsid w:val="00CF2155"/>
    <w:rPr>
      <w:rFonts w:ascii="Tahoma" w:eastAsia="Arial" w:hAnsi="Tahoma" w:cs="Tahoma"/>
      <w:sz w:val="16"/>
      <w:szCs w:val="16"/>
    </w:rPr>
  </w:style>
  <w:style w:type="character" w:styleId="Hyperlink">
    <w:name w:val="Hyperlink"/>
    <w:basedOn w:val="Fontepargpadro"/>
    <w:uiPriority w:val="99"/>
    <w:unhideWhenUsed/>
    <w:rsid w:val="00E05951"/>
    <w:rPr>
      <w:color w:val="0000FF" w:themeColor="hyperlink"/>
      <w:u w:val="single"/>
    </w:rPr>
  </w:style>
  <w:style w:type="paragraph" w:styleId="Subttulo">
    <w:name w:val="Subtitle"/>
    <w:basedOn w:val="Normal"/>
    <w:next w:val="Normal"/>
    <w:rsid w:val="00C62217"/>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semiHidden/>
    <w:unhideWhenUsed/>
    <w:rsid w:val="00647509"/>
    <w:pPr>
      <w:widowControl/>
      <w:spacing w:before="100" w:beforeAutospacing="1" w:after="100" w:afterAutospacing="1"/>
    </w:pPr>
    <w:rPr>
      <w:rFonts w:ascii="Times New Roman" w:eastAsia="Times New Roman" w:hAnsi="Times New Roman" w:cs="Times New Roman"/>
      <w:sz w:val="24"/>
      <w:szCs w:val="24"/>
    </w:rPr>
  </w:style>
  <w:style w:type="character" w:styleId="nfase">
    <w:name w:val="Emphasis"/>
    <w:basedOn w:val="Fontepargpadro"/>
    <w:uiPriority w:val="20"/>
    <w:qFormat/>
    <w:rsid w:val="00647509"/>
    <w:rPr>
      <w:i/>
      <w:iCs/>
    </w:rPr>
  </w:style>
  <w:style w:type="character" w:styleId="Forte">
    <w:name w:val="Strong"/>
    <w:basedOn w:val="Fontepargpadro"/>
    <w:uiPriority w:val="22"/>
    <w:qFormat/>
    <w:rsid w:val="00D30600"/>
    <w:rPr>
      <w:b/>
      <w:bCs/>
    </w:rPr>
  </w:style>
  <w:style w:type="character" w:styleId="HiperlinkVisitado">
    <w:name w:val="FollowedHyperlink"/>
    <w:basedOn w:val="Fontepargpadro"/>
    <w:uiPriority w:val="99"/>
    <w:semiHidden/>
    <w:unhideWhenUsed/>
    <w:rsid w:val="00163500"/>
    <w:rPr>
      <w:color w:val="800080" w:themeColor="followedHyperlink"/>
      <w:u w:val="single"/>
    </w:rPr>
  </w:style>
  <w:style w:type="character" w:customStyle="1" w:styleId="meta-date">
    <w:name w:val="meta-date"/>
    <w:basedOn w:val="Fontepargpadro"/>
    <w:rsid w:val="00B207EE"/>
  </w:style>
  <w:style w:type="paragraph" w:customStyle="1" w:styleId="TextodoArtigo">
    <w:name w:val="Texto do Artigo"/>
    <w:basedOn w:val="Normal"/>
    <w:rsid w:val="0010631F"/>
    <w:pPr>
      <w:widowControl/>
      <w:suppressAutoHyphens/>
      <w:autoSpaceDE w:val="0"/>
      <w:ind w:firstLine="340"/>
      <w:jc w:val="both"/>
    </w:pPr>
    <w:rPr>
      <w:rFonts w:ascii="Times New Roman" w:eastAsia="Times New Roman" w:hAnsi="Times New Roman" w:cs="Times New Roman"/>
      <w:color w:val="000000"/>
      <w:sz w:val="20"/>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245974">
      <w:bodyDiv w:val="1"/>
      <w:marLeft w:val="0"/>
      <w:marRight w:val="0"/>
      <w:marTop w:val="0"/>
      <w:marBottom w:val="0"/>
      <w:divBdr>
        <w:top w:val="none" w:sz="0" w:space="0" w:color="auto"/>
        <w:left w:val="none" w:sz="0" w:space="0" w:color="auto"/>
        <w:bottom w:val="none" w:sz="0" w:space="0" w:color="auto"/>
        <w:right w:val="none" w:sz="0" w:space="0" w:color="auto"/>
      </w:divBdr>
    </w:div>
    <w:div w:id="914783763">
      <w:bodyDiv w:val="1"/>
      <w:marLeft w:val="0"/>
      <w:marRight w:val="0"/>
      <w:marTop w:val="0"/>
      <w:marBottom w:val="0"/>
      <w:divBdr>
        <w:top w:val="none" w:sz="0" w:space="0" w:color="auto"/>
        <w:left w:val="none" w:sz="0" w:space="0" w:color="auto"/>
        <w:bottom w:val="none" w:sz="0" w:space="0" w:color="auto"/>
        <w:right w:val="none" w:sz="0" w:space="0" w:color="auto"/>
      </w:divBdr>
    </w:div>
    <w:div w:id="1003165840">
      <w:bodyDiv w:val="1"/>
      <w:marLeft w:val="0"/>
      <w:marRight w:val="0"/>
      <w:marTop w:val="0"/>
      <w:marBottom w:val="0"/>
      <w:divBdr>
        <w:top w:val="none" w:sz="0" w:space="0" w:color="auto"/>
        <w:left w:val="none" w:sz="0" w:space="0" w:color="auto"/>
        <w:bottom w:val="none" w:sz="0" w:space="0" w:color="auto"/>
        <w:right w:val="none" w:sz="0" w:space="0" w:color="auto"/>
      </w:divBdr>
    </w:div>
    <w:div w:id="10139922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jpeg"/><Relationship Id="rId26" Type="http://schemas.openxmlformats.org/officeDocument/2006/relationships/image" Target="media/image20.jpeg"/><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5" Type="http://schemas.openxmlformats.org/officeDocument/2006/relationships/footnotes" Target="footnotes.xml"/><Relationship Id="rId15" Type="http://schemas.openxmlformats.org/officeDocument/2006/relationships/image" Target="media/image9.jpg"/><Relationship Id="rId23" Type="http://schemas.openxmlformats.org/officeDocument/2006/relationships/image" Target="media/image17.jpeg"/><Relationship Id="rId28"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16</Pages>
  <Words>4192</Words>
  <Characters>22641</Characters>
  <Application>Microsoft Office Word</Application>
  <DocSecurity>0</DocSecurity>
  <Lines>188</Lines>
  <Paragraphs>53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26780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Rolando A. Thimmig</dc:creator>
  <cp:lastModifiedBy>Willy Ank</cp:lastModifiedBy>
  <cp:revision>4</cp:revision>
  <dcterms:created xsi:type="dcterms:W3CDTF">2020-10-04T21:45:00Z</dcterms:created>
  <dcterms:modified xsi:type="dcterms:W3CDTF">2020-10-04T22:03:00Z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2016-07-05T00:00:00Z</vt:filetime>
  </property>
  <property fmtid="{D5CDD505-2E9C-101B-9397-08002B2CF9AE}" pid="3" name="Creator">
    <vt:lpwstr>Microsoft® Word 2013</vt:lpwstr>
  </property>
  <property fmtid="{D5CDD505-2E9C-101B-9397-08002B2CF9AE}" pid="4" name="LastSaved">
    <vt:filetime>2017-08-01T00:00:00Z</vt:filetime>
  </property>
</Properties>
</file>